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263A" w14:textId="58B51291" w:rsidR="00773732" w:rsidRPr="00FD19AE" w:rsidRDefault="00E653F5" w:rsidP="00E25551">
      <w:pPr>
        <w:jc w:val="right"/>
        <w:rPr>
          <w:bCs/>
        </w:rPr>
      </w:pPr>
      <w:bookmarkStart w:id="0" w:name="_Hlk161821739"/>
      <w:r w:rsidRPr="00FD19AE">
        <w:rPr>
          <w:bCs/>
        </w:rPr>
        <w:t xml:space="preserve">Kinnisasja omandamise kitsendamise seaduse muutmise </w:t>
      </w:r>
      <w:r w:rsidR="00773732" w:rsidRPr="00FD19AE">
        <w:rPr>
          <w:bCs/>
        </w:rPr>
        <w:t xml:space="preserve">ja sellega seonduvalt </w:t>
      </w:r>
    </w:p>
    <w:p w14:paraId="26A5B187" w14:textId="3EC41A9F" w:rsidR="00773732" w:rsidRPr="00FD19AE" w:rsidRDefault="00773732" w:rsidP="00E25551">
      <w:pPr>
        <w:jc w:val="right"/>
        <w:rPr>
          <w:bCs/>
        </w:rPr>
      </w:pPr>
      <w:r w:rsidRPr="00FD19AE">
        <w:rPr>
          <w:bCs/>
        </w:rPr>
        <w:t>teiste seaduste muutmise seaduse eelnõu seletuskir</w:t>
      </w:r>
      <w:r w:rsidR="00CA4260">
        <w:rPr>
          <w:bCs/>
        </w:rPr>
        <w:t>ja juurde</w:t>
      </w:r>
    </w:p>
    <w:p w14:paraId="3D9858AB" w14:textId="543BF207" w:rsidR="00773732" w:rsidRPr="00FD19AE" w:rsidRDefault="00773732" w:rsidP="004D2868">
      <w:pPr>
        <w:jc w:val="right"/>
        <w:rPr>
          <w:bCs/>
        </w:rPr>
      </w:pPr>
      <w:r w:rsidRPr="00FD19AE">
        <w:rPr>
          <w:bCs/>
        </w:rPr>
        <w:t xml:space="preserve">Lisa </w:t>
      </w:r>
      <w:r w:rsidR="00261744" w:rsidRPr="00FD19AE">
        <w:rPr>
          <w:bCs/>
        </w:rPr>
        <w:t>2</w:t>
      </w:r>
    </w:p>
    <w:p w14:paraId="188E5CAF" w14:textId="77777777" w:rsidR="00773732" w:rsidRPr="00FD19AE" w:rsidRDefault="00773732" w:rsidP="00101EA0">
      <w:pPr>
        <w:jc w:val="both"/>
        <w:rPr>
          <w:bCs/>
        </w:rPr>
      </w:pPr>
    </w:p>
    <w:p w14:paraId="288660C5" w14:textId="0357FB44" w:rsidR="00773732" w:rsidRPr="00FD19AE" w:rsidRDefault="00773732" w:rsidP="00101EA0">
      <w:pPr>
        <w:jc w:val="both"/>
        <w:rPr>
          <w:b/>
        </w:rPr>
      </w:pPr>
      <w:r w:rsidRPr="00FD19AE">
        <w:rPr>
          <w:b/>
        </w:rPr>
        <w:t>Kooskõlastustabel</w:t>
      </w:r>
    </w:p>
    <w:p w14:paraId="463B2C13" w14:textId="77777777" w:rsidR="00773732" w:rsidRPr="00FD19AE" w:rsidRDefault="00773732" w:rsidP="00101EA0">
      <w:pPr>
        <w:jc w:val="both"/>
        <w:rPr>
          <w:b/>
        </w:rPr>
      </w:pPr>
    </w:p>
    <w:tbl>
      <w:tblPr>
        <w:tblStyle w:val="Kontuurtabel"/>
        <w:tblW w:w="14170" w:type="dxa"/>
        <w:tblLayout w:type="fixed"/>
        <w:tblLook w:val="04A0" w:firstRow="1" w:lastRow="0" w:firstColumn="1" w:lastColumn="0" w:noHBand="0" w:noVBand="1"/>
      </w:tblPr>
      <w:tblGrid>
        <w:gridCol w:w="704"/>
        <w:gridCol w:w="6804"/>
        <w:gridCol w:w="6662"/>
      </w:tblGrid>
      <w:tr w:rsidR="00FD230B" w:rsidRPr="00FD19AE" w14:paraId="4EADE451" w14:textId="77777777" w:rsidTr="00101EA0">
        <w:tc>
          <w:tcPr>
            <w:tcW w:w="704" w:type="dxa"/>
            <w:shd w:val="clear" w:color="auto" w:fill="D9E2F3" w:themeFill="accent1" w:themeFillTint="33"/>
          </w:tcPr>
          <w:bookmarkEnd w:id="0"/>
          <w:p w14:paraId="790DC7F3" w14:textId="35853494" w:rsidR="00FD230B" w:rsidRPr="00C92D74" w:rsidRDefault="00FD230B" w:rsidP="00101EA0">
            <w:pPr>
              <w:jc w:val="both"/>
              <w:rPr>
                <w:bCs/>
              </w:rPr>
            </w:pPr>
            <w:r w:rsidRPr="00C92D74">
              <w:rPr>
                <w:bCs/>
              </w:rPr>
              <w:t>nr</w:t>
            </w:r>
          </w:p>
        </w:tc>
        <w:tc>
          <w:tcPr>
            <w:tcW w:w="6804" w:type="dxa"/>
            <w:tcBorders>
              <w:bottom w:val="single" w:sz="4" w:space="0" w:color="auto"/>
            </w:tcBorders>
            <w:shd w:val="clear" w:color="auto" w:fill="D9E2F3" w:themeFill="accent1" w:themeFillTint="33"/>
          </w:tcPr>
          <w:p w14:paraId="6716ABD1" w14:textId="617A9E84" w:rsidR="00FD230B" w:rsidRPr="00FD19AE" w:rsidRDefault="00E25551" w:rsidP="00101EA0">
            <w:pPr>
              <w:jc w:val="both"/>
              <w:rPr>
                <w:b/>
              </w:rPr>
            </w:pPr>
            <w:r>
              <w:rPr>
                <w:b/>
              </w:rPr>
              <w:t>Kooskõlastuse või arvamuse e</w:t>
            </w:r>
            <w:r w:rsidR="00FD230B" w:rsidRPr="00FD19AE">
              <w:rPr>
                <w:b/>
              </w:rPr>
              <w:t>sitaja</w:t>
            </w:r>
            <w:r>
              <w:rPr>
                <w:b/>
              </w:rPr>
              <w:t xml:space="preserve">, </w:t>
            </w:r>
            <w:r w:rsidR="00FD230B" w:rsidRPr="00FD19AE">
              <w:rPr>
                <w:b/>
              </w:rPr>
              <w:t>märkuse sisu</w:t>
            </w:r>
          </w:p>
        </w:tc>
        <w:tc>
          <w:tcPr>
            <w:tcW w:w="6662" w:type="dxa"/>
            <w:tcBorders>
              <w:bottom w:val="single" w:sz="4" w:space="0" w:color="auto"/>
            </w:tcBorders>
            <w:shd w:val="clear" w:color="auto" w:fill="D9E2F3" w:themeFill="accent1" w:themeFillTint="33"/>
          </w:tcPr>
          <w:p w14:paraId="6BCA65BD" w14:textId="4B2216CA" w:rsidR="00FD230B" w:rsidRPr="00FD19AE" w:rsidRDefault="00FD230B" w:rsidP="00101EA0">
            <w:pPr>
              <w:jc w:val="both"/>
              <w:rPr>
                <w:b/>
              </w:rPr>
            </w:pPr>
            <w:r w:rsidRPr="00FD19AE">
              <w:rPr>
                <w:b/>
              </w:rPr>
              <w:t>Märkuse arvestamine</w:t>
            </w:r>
            <w:r w:rsidR="000E3071">
              <w:rPr>
                <w:b/>
              </w:rPr>
              <w:t xml:space="preserve"> või</w:t>
            </w:r>
            <w:r w:rsidR="00E25551">
              <w:rPr>
                <w:b/>
              </w:rPr>
              <w:t xml:space="preserve"> </w:t>
            </w:r>
            <w:r w:rsidRPr="00FD19AE">
              <w:rPr>
                <w:b/>
              </w:rPr>
              <w:t>mittearvestamine</w:t>
            </w:r>
            <w:r w:rsidR="00E25551">
              <w:rPr>
                <w:b/>
              </w:rPr>
              <w:t>, selgitused</w:t>
            </w:r>
          </w:p>
        </w:tc>
      </w:tr>
      <w:tr w:rsidR="00FD230B" w:rsidRPr="00FD19AE" w14:paraId="675ADFE6" w14:textId="77777777" w:rsidTr="00101EA0">
        <w:tc>
          <w:tcPr>
            <w:tcW w:w="704" w:type="dxa"/>
            <w:shd w:val="clear" w:color="auto" w:fill="D9E2F3" w:themeFill="accent1" w:themeFillTint="33"/>
          </w:tcPr>
          <w:p w14:paraId="23EDEE79" w14:textId="4FE1EAC4" w:rsidR="00FD230B" w:rsidRPr="00C92D74" w:rsidRDefault="00FD19AE" w:rsidP="00101EA0">
            <w:pPr>
              <w:jc w:val="both"/>
              <w:rPr>
                <w:bCs/>
              </w:rPr>
            </w:pPr>
            <w:r w:rsidRPr="00C92D74">
              <w:rPr>
                <w:bCs/>
              </w:rPr>
              <w:t>1.</w:t>
            </w:r>
          </w:p>
        </w:tc>
        <w:tc>
          <w:tcPr>
            <w:tcW w:w="6804" w:type="dxa"/>
            <w:shd w:val="clear" w:color="auto" w:fill="D9E2F3" w:themeFill="accent1" w:themeFillTint="33"/>
          </w:tcPr>
          <w:p w14:paraId="532F0EF8" w14:textId="2194B056" w:rsidR="00FD230B" w:rsidRPr="00FD19AE" w:rsidRDefault="00B74A06" w:rsidP="00101EA0">
            <w:pPr>
              <w:jc w:val="both"/>
              <w:rPr>
                <w:b/>
              </w:rPr>
            </w:pPr>
            <w:r w:rsidRPr="00FD19AE">
              <w:rPr>
                <w:b/>
              </w:rPr>
              <w:t>Linnade ja Valdade Liit</w:t>
            </w:r>
          </w:p>
        </w:tc>
        <w:tc>
          <w:tcPr>
            <w:tcW w:w="6662" w:type="dxa"/>
            <w:shd w:val="clear" w:color="auto" w:fill="D9E2F3" w:themeFill="accent1" w:themeFillTint="33"/>
          </w:tcPr>
          <w:p w14:paraId="4F5E1510" w14:textId="77777777" w:rsidR="00FD230B" w:rsidRPr="00FD19AE" w:rsidRDefault="00FD230B" w:rsidP="00101EA0">
            <w:pPr>
              <w:jc w:val="both"/>
              <w:rPr>
                <w:b/>
              </w:rPr>
            </w:pPr>
          </w:p>
        </w:tc>
      </w:tr>
      <w:tr w:rsidR="00FD230B" w:rsidRPr="00FD19AE" w14:paraId="371FF4D6" w14:textId="77777777" w:rsidTr="00101EA0">
        <w:tc>
          <w:tcPr>
            <w:tcW w:w="704" w:type="dxa"/>
          </w:tcPr>
          <w:p w14:paraId="3AA819B6" w14:textId="4375130B" w:rsidR="00FD230B" w:rsidRPr="00C92D74" w:rsidRDefault="00101EA0" w:rsidP="00101EA0">
            <w:pPr>
              <w:jc w:val="both"/>
              <w:rPr>
                <w:bCs/>
              </w:rPr>
            </w:pPr>
            <w:r w:rsidRPr="00C92D74">
              <w:rPr>
                <w:bCs/>
              </w:rPr>
              <w:t>1.1</w:t>
            </w:r>
          </w:p>
        </w:tc>
        <w:tc>
          <w:tcPr>
            <w:tcW w:w="6804" w:type="dxa"/>
          </w:tcPr>
          <w:p w14:paraId="244C79A3" w14:textId="47A85A12" w:rsidR="00FD230B" w:rsidRPr="00FD19AE" w:rsidRDefault="00485E42" w:rsidP="00101EA0">
            <w:pPr>
              <w:jc w:val="both"/>
              <w:rPr>
                <w:bCs/>
              </w:rPr>
            </w:pPr>
            <w:r w:rsidRPr="00FD19AE">
              <w:rPr>
                <w:bCs/>
              </w:rPr>
              <w:t>Kavandatavad muudatused suurendavad kohalike omavalitsuste menetluskoormust, eelkõige seoses korteriomandite kaasamise, tegelike kasusaajate kontrollimise ning võimalike vaidluste ja kandeparanduste menetlemisega. Pärnu Linnavalitsus on osutanud, et nende ülesannete täitmine eeldab nii piisavaid töövahendeid kui ka täiendavat ressurssi.</w:t>
            </w:r>
          </w:p>
        </w:tc>
        <w:tc>
          <w:tcPr>
            <w:tcW w:w="6662" w:type="dxa"/>
          </w:tcPr>
          <w:p w14:paraId="34C4C2BD" w14:textId="77777777" w:rsidR="00DA1CEE" w:rsidRPr="00CD7407" w:rsidRDefault="00BE740B" w:rsidP="00101EA0">
            <w:pPr>
              <w:jc w:val="both"/>
              <w:rPr>
                <w:bCs/>
                <w:u w:val="single"/>
              </w:rPr>
            </w:pPr>
            <w:r w:rsidRPr="00CD7407">
              <w:rPr>
                <w:bCs/>
                <w:u w:val="single"/>
              </w:rPr>
              <w:t xml:space="preserve">Arvestatud osaliselt. </w:t>
            </w:r>
          </w:p>
          <w:p w14:paraId="24E31817" w14:textId="4934CD55" w:rsidR="00FD230B" w:rsidRPr="00FD19AE" w:rsidRDefault="00BE740B" w:rsidP="00101EA0">
            <w:pPr>
              <w:jc w:val="both"/>
              <w:rPr>
                <w:bCs/>
              </w:rPr>
            </w:pPr>
            <w:r w:rsidRPr="00FD19AE">
              <w:rPr>
                <w:bCs/>
              </w:rPr>
              <w:t>Muudetud eelnõu ja seletuskirja sõnastus</w:t>
            </w:r>
            <w:r w:rsidR="00CD7407">
              <w:rPr>
                <w:bCs/>
              </w:rPr>
              <w:t>t</w:t>
            </w:r>
            <w:r w:rsidRPr="00FD19AE">
              <w:rPr>
                <w:bCs/>
              </w:rPr>
              <w:t xml:space="preserve"> selgemaks, et oleks täpsemalt arusaadav </w:t>
            </w:r>
            <w:r w:rsidR="00CD7407">
              <w:rPr>
                <w:bCs/>
              </w:rPr>
              <w:t xml:space="preserve">kohaliku omavalitsuse (edaspidi </w:t>
            </w:r>
            <w:r w:rsidRPr="00CD7407">
              <w:rPr>
                <w:bCs/>
                <w:i/>
                <w:iCs/>
              </w:rPr>
              <w:t>KOV</w:t>
            </w:r>
            <w:r w:rsidR="00CD7407">
              <w:rPr>
                <w:bCs/>
              </w:rPr>
              <w:t>)</w:t>
            </w:r>
            <w:r w:rsidRPr="00FD19AE">
              <w:rPr>
                <w:bCs/>
              </w:rPr>
              <w:t xml:space="preserve"> roll. KOV põhiline ülesanne </w:t>
            </w:r>
            <w:r w:rsidR="00B80CAA">
              <w:rPr>
                <w:bCs/>
              </w:rPr>
              <w:t xml:space="preserve">antud kontekstis </w:t>
            </w:r>
            <w:r w:rsidRPr="00FD19AE">
              <w:rPr>
                <w:bCs/>
              </w:rPr>
              <w:t xml:space="preserve">on juba varasemalt KAOKS § 9 ettenähtud loamenetluse läbiviimine metsa- ja põllumaa menetlustes. </w:t>
            </w:r>
            <w:r w:rsidR="007E1874" w:rsidRPr="00FD19AE">
              <w:rPr>
                <w:bCs/>
              </w:rPr>
              <w:t xml:space="preserve">Selles menetluses </w:t>
            </w:r>
            <w:r w:rsidR="00CD7407">
              <w:rPr>
                <w:bCs/>
              </w:rPr>
              <w:t xml:space="preserve">on </w:t>
            </w:r>
            <w:r w:rsidR="007E1874" w:rsidRPr="00FD19AE">
              <w:rPr>
                <w:bCs/>
              </w:rPr>
              <w:t xml:space="preserve">otstarbekas kontrollida ka taotleja </w:t>
            </w:r>
            <w:r w:rsidR="00CD7407">
              <w:rPr>
                <w:bCs/>
              </w:rPr>
              <w:t xml:space="preserve">vastavust KAOKS </w:t>
            </w:r>
            <w:r w:rsidR="007E1874" w:rsidRPr="00FD19AE">
              <w:rPr>
                <w:bCs/>
              </w:rPr>
              <w:t>§ 10 ja §10</w:t>
            </w:r>
            <w:r w:rsidR="007E1874" w:rsidRPr="00FD19AE">
              <w:rPr>
                <w:bCs/>
                <w:vertAlign w:val="superscript"/>
              </w:rPr>
              <w:t xml:space="preserve">1 </w:t>
            </w:r>
            <w:r w:rsidR="007E1874" w:rsidRPr="00FD19AE">
              <w:rPr>
                <w:bCs/>
              </w:rPr>
              <w:t xml:space="preserve"> tingimustele, et vältida olukorda, kus näiteks KOV väljastab loa</w:t>
            </w:r>
            <w:r w:rsidR="00CD7407">
              <w:rPr>
                <w:bCs/>
              </w:rPr>
              <w:t>,</w:t>
            </w:r>
            <w:r w:rsidR="007E1874" w:rsidRPr="00FD19AE">
              <w:rPr>
                <w:bCs/>
              </w:rPr>
              <w:t xml:space="preserve"> </w:t>
            </w:r>
            <w:r w:rsidR="00CD7407">
              <w:rPr>
                <w:bCs/>
              </w:rPr>
              <w:t xml:space="preserve">kuid </w:t>
            </w:r>
            <w:r w:rsidR="007E1874" w:rsidRPr="00FD19AE">
              <w:rPr>
                <w:bCs/>
              </w:rPr>
              <w:t xml:space="preserve">tehingut ei saa läbi viia, sest taotleja ei vasta </w:t>
            </w:r>
            <w:r w:rsidR="00CD7407">
              <w:rPr>
                <w:bCs/>
              </w:rPr>
              <w:t xml:space="preserve">KAOKS </w:t>
            </w:r>
            <w:r w:rsidR="007E1874" w:rsidRPr="00FD19AE">
              <w:rPr>
                <w:bCs/>
              </w:rPr>
              <w:t>§ 10 või 10</w:t>
            </w:r>
            <w:r w:rsidR="007E1874" w:rsidRPr="00FD19AE">
              <w:rPr>
                <w:bCs/>
                <w:vertAlign w:val="superscript"/>
              </w:rPr>
              <w:t>1</w:t>
            </w:r>
            <w:r w:rsidR="007E1874" w:rsidRPr="00FD19AE">
              <w:rPr>
                <w:bCs/>
              </w:rPr>
              <w:t xml:space="preserve"> tingimustele. Eelkirjeldatud KAOKS §</w:t>
            </w:r>
            <w:r w:rsidR="00CD7407">
              <w:rPr>
                <w:bCs/>
              </w:rPr>
              <w:t xml:space="preserve"> </w:t>
            </w:r>
            <w:r w:rsidR="007E1874" w:rsidRPr="00FD19AE">
              <w:rPr>
                <w:bCs/>
              </w:rPr>
              <w:t>9 kohustusest tulenevaid menetlusi on olnud 2025</w:t>
            </w:r>
            <w:r w:rsidR="00CD7407">
              <w:rPr>
                <w:bCs/>
              </w:rPr>
              <w:t>.</w:t>
            </w:r>
            <w:r w:rsidR="007E1874" w:rsidRPr="00FD19AE">
              <w:rPr>
                <w:bCs/>
              </w:rPr>
              <w:t xml:space="preserve"> aastal 44, 2024</w:t>
            </w:r>
            <w:r w:rsidR="00CD7407">
              <w:rPr>
                <w:bCs/>
              </w:rPr>
              <w:t>.</w:t>
            </w:r>
            <w:r w:rsidR="007E1874" w:rsidRPr="00FD19AE">
              <w:rPr>
                <w:bCs/>
              </w:rPr>
              <w:t xml:space="preserve"> aastal 52, 2023</w:t>
            </w:r>
            <w:r w:rsidR="00CD7407">
              <w:rPr>
                <w:bCs/>
              </w:rPr>
              <w:t>.</w:t>
            </w:r>
            <w:r w:rsidR="007E1874" w:rsidRPr="00FD19AE">
              <w:rPr>
                <w:bCs/>
              </w:rPr>
              <w:t xml:space="preserve"> aastal 62. </w:t>
            </w:r>
            <w:r w:rsidR="00B05794" w:rsidRPr="00FD19AE">
              <w:rPr>
                <w:bCs/>
              </w:rPr>
              <w:t>Arvestades, et Eestis on 7</w:t>
            </w:r>
            <w:r w:rsidR="00D96D7E">
              <w:rPr>
                <w:bCs/>
              </w:rPr>
              <w:t>8</w:t>
            </w:r>
            <w:r w:rsidR="00B05794" w:rsidRPr="00FD19AE">
              <w:rPr>
                <w:bCs/>
              </w:rPr>
              <w:t xml:space="preserve"> kohalikku omavalitsust, siis kõikides </w:t>
            </w:r>
            <w:proofErr w:type="spellStart"/>
            <w:r w:rsidR="00B05794" w:rsidRPr="00FD19AE">
              <w:rPr>
                <w:bCs/>
              </w:rPr>
              <w:t>KOV</w:t>
            </w:r>
            <w:r w:rsidR="00101EA0">
              <w:rPr>
                <w:bCs/>
              </w:rPr>
              <w:t>i</w:t>
            </w:r>
            <w:r w:rsidR="00B05794" w:rsidRPr="00FD19AE">
              <w:rPr>
                <w:bCs/>
              </w:rPr>
              <w:t>des</w:t>
            </w:r>
            <w:proofErr w:type="spellEnd"/>
            <w:r w:rsidR="00B05794" w:rsidRPr="00FD19AE">
              <w:rPr>
                <w:bCs/>
              </w:rPr>
              <w:t xml:space="preserve"> ei toimu </w:t>
            </w:r>
            <w:r w:rsidR="00CD7407">
              <w:rPr>
                <w:bCs/>
              </w:rPr>
              <w:t xml:space="preserve">vastavaid </w:t>
            </w:r>
            <w:r w:rsidR="00B05794" w:rsidRPr="00FD19AE">
              <w:rPr>
                <w:bCs/>
              </w:rPr>
              <w:t>menetlusi ning statistiliselt toimu</w:t>
            </w:r>
            <w:r w:rsidR="00B80CAA">
              <w:rPr>
                <w:bCs/>
              </w:rPr>
              <w:t>vad</w:t>
            </w:r>
            <w:r w:rsidR="00B05794" w:rsidRPr="00FD19AE">
              <w:rPr>
                <w:bCs/>
              </w:rPr>
              <w:t xml:space="preserve"> ühes </w:t>
            </w:r>
            <w:proofErr w:type="spellStart"/>
            <w:r w:rsidR="00B05794" w:rsidRPr="00FD19AE">
              <w:rPr>
                <w:bCs/>
              </w:rPr>
              <w:t>KOV</w:t>
            </w:r>
            <w:r w:rsidR="00CD7407">
              <w:rPr>
                <w:bCs/>
              </w:rPr>
              <w:t>i</w:t>
            </w:r>
            <w:r w:rsidR="00B05794" w:rsidRPr="00FD19AE">
              <w:rPr>
                <w:bCs/>
              </w:rPr>
              <w:t>s</w:t>
            </w:r>
            <w:proofErr w:type="spellEnd"/>
            <w:r w:rsidR="00B05794" w:rsidRPr="00FD19AE">
              <w:rPr>
                <w:bCs/>
              </w:rPr>
              <w:t xml:space="preserve"> aastas tõenäoliselt </w:t>
            </w:r>
            <w:r w:rsidR="00B80CAA">
              <w:rPr>
                <w:bCs/>
              </w:rPr>
              <w:t>vaid mõned menetlused</w:t>
            </w:r>
            <w:r w:rsidR="00B05794" w:rsidRPr="00FD19AE">
              <w:rPr>
                <w:bCs/>
              </w:rPr>
              <w:t xml:space="preserve">. </w:t>
            </w:r>
            <w:r w:rsidR="001E74A8" w:rsidRPr="00FD19AE">
              <w:rPr>
                <w:bCs/>
              </w:rPr>
              <w:t xml:space="preserve">Sellest lähtuvalt ei saa prognoosida </w:t>
            </w:r>
            <w:r w:rsidR="00CD7407">
              <w:rPr>
                <w:bCs/>
              </w:rPr>
              <w:t xml:space="preserve">olulist </w:t>
            </w:r>
            <w:r w:rsidR="001E74A8" w:rsidRPr="00FD19AE">
              <w:rPr>
                <w:bCs/>
              </w:rPr>
              <w:t xml:space="preserve">menetluskoormuse kasvu ega pidada vajalikuks täiendavate ressursside </w:t>
            </w:r>
            <w:r w:rsidR="00CD7407">
              <w:rPr>
                <w:bCs/>
              </w:rPr>
              <w:t>eraldamist</w:t>
            </w:r>
            <w:r w:rsidR="001E74A8" w:rsidRPr="00FD19AE">
              <w:rPr>
                <w:bCs/>
              </w:rPr>
              <w:t>.</w:t>
            </w:r>
          </w:p>
        </w:tc>
      </w:tr>
      <w:tr w:rsidR="00572E63" w:rsidRPr="00FD19AE" w14:paraId="555F5EE7" w14:textId="77777777" w:rsidTr="00101EA0">
        <w:tc>
          <w:tcPr>
            <w:tcW w:w="704" w:type="dxa"/>
          </w:tcPr>
          <w:p w14:paraId="72B8DE64" w14:textId="1EB0E488" w:rsidR="00572E63" w:rsidRPr="00C92D74" w:rsidRDefault="00101EA0" w:rsidP="00101EA0">
            <w:pPr>
              <w:jc w:val="both"/>
              <w:rPr>
                <w:bCs/>
              </w:rPr>
            </w:pPr>
            <w:r w:rsidRPr="00C92D74">
              <w:rPr>
                <w:bCs/>
              </w:rPr>
              <w:t>1.2</w:t>
            </w:r>
          </w:p>
        </w:tc>
        <w:tc>
          <w:tcPr>
            <w:tcW w:w="6804" w:type="dxa"/>
          </w:tcPr>
          <w:p w14:paraId="3938A454" w14:textId="2E757D83" w:rsidR="00572E63" w:rsidRPr="00FD19AE" w:rsidRDefault="00485E42" w:rsidP="00101EA0">
            <w:pPr>
              <w:jc w:val="both"/>
              <w:rPr>
                <w:bCs/>
              </w:rPr>
            </w:pPr>
            <w:r w:rsidRPr="00FD19AE">
              <w:rPr>
                <w:bCs/>
              </w:rPr>
              <w:t xml:space="preserve">Peame vajalikuks täpsustada, et KAOKS § 10² kohaldamisel peab seadusest üheselt nähtuma, kas kontrolli teostab kinnisasja asukohajärgne kohaliku omavalitsuse üksus. Kui kohalik omavalitsus peaks täitma ülesannet ka teiste omavalitsuste elanike või väljaspool oma haldusterritooriumi asuvate kinnisasjade suhtes, võib tegemist olla riikliku ülesandega </w:t>
            </w:r>
            <w:proofErr w:type="spellStart"/>
            <w:r w:rsidRPr="00FD19AE">
              <w:rPr>
                <w:bCs/>
              </w:rPr>
              <w:t>KOKSi</w:t>
            </w:r>
            <w:proofErr w:type="spellEnd"/>
            <w:r w:rsidRPr="00FD19AE">
              <w:rPr>
                <w:bCs/>
              </w:rPr>
              <w:t xml:space="preserve"> tähenduses, mille kulud tuleb katta riigieelarvest. Samuti ei ole seletuskirjas piisavalt hinnatud tegelikku töökoormuse kasvu ega regionaalarengu mõju.</w:t>
            </w:r>
          </w:p>
        </w:tc>
        <w:tc>
          <w:tcPr>
            <w:tcW w:w="6662" w:type="dxa"/>
          </w:tcPr>
          <w:p w14:paraId="04A6D5EF" w14:textId="77777777" w:rsidR="00DA1CEE" w:rsidRPr="00FD19AE" w:rsidRDefault="007F64F8" w:rsidP="00101EA0">
            <w:pPr>
              <w:jc w:val="both"/>
              <w:rPr>
                <w:bCs/>
                <w:u w:val="single"/>
              </w:rPr>
            </w:pPr>
            <w:r w:rsidRPr="00CD7407">
              <w:rPr>
                <w:bCs/>
                <w:u w:val="single"/>
              </w:rPr>
              <w:t>Arvestatud.</w:t>
            </w:r>
            <w:r w:rsidRPr="00FD19AE">
              <w:rPr>
                <w:bCs/>
                <w:u w:val="single"/>
              </w:rPr>
              <w:t xml:space="preserve"> </w:t>
            </w:r>
          </w:p>
          <w:p w14:paraId="4D050A0C" w14:textId="5754A35C" w:rsidR="00572E63" w:rsidRPr="00CD7407" w:rsidRDefault="00101340" w:rsidP="00101EA0">
            <w:pPr>
              <w:jc w:val="both"/>
              <w:rPr>
                <w:bCs/>
              </w:rPr>
            </w:pPr>
            <w:r>
              <w:rPr>
                <w:bCs/>
              </w:rPr>
              <w:t>M</w:t>
            </w:r>
            <w:r w:rsidR="00CD7407">
              <w:rPr>
                <w:bCs/>
              </w:rPr>
              <w:t xml:space="preserve">uudetud </w:t>
            </w:r>
            <w:r>
              <w:rPr>
                <w:bCs/>
              </w:rPr>
              <w:t xml:space="preserve">eelnõud </w:t>
            </w:r>
            <w:r w:rsidR="00CD7407">
              <w:rPr>
                <w:bCs/>
              </w:rPr>
              <w:t>ja täiendatud</w:t>
            </w:r>
            <w:r>
              <w:rPr>
                <w:bCs/>
              </w:rPr>
              <w:t xml:space="preserve"> seletuskirja</w:t>
            </w:r>
            <w:r w:rsidR="00CD7407">
              <w:rPr>
                <w:bCs/>
              </w:rPr>
              <w:t xml:space="preserve">, vt </w:t>
            </w:r>
            <w:r w:rsidR="00BD6494" w:rsidRPr="00CD7407">
              <w:rPr>
                <w:bCs/>
              </w:rPr>
              <w:t>ka eelmise punkti selgitus</w:t>
            </w:r>
            <w:r w:rsidR="00CD7407">
              <w:rPr>
                <w:bCs/>
              </w:rPr>
              <w:t>t</w:t>
            </w:r>
            <w:r w:rsidR="00BD6494" w:rsidRPr="00CD7407">
              <w:rPr>
                <w:bCs/>
              </w:rPr>
              <w:t xml:space="preserve">. </w:t>
            </w:r>
            <w:r w:rsidR="007F64F8" w:rsidRPr="00CD7407">
              <w:rPr>
                <w:bCs/>
              </w:rPr>
              <w:t xml:space="preserve">KOV </w:t>
            </w:r>
            <w:r w:rsidR="00CD7407">
              <w:rPr>
                <w:bCs/>
              </w:rPr>
              <w:t xml:space="preserve">on </w:t>
            </w:r>
            <w:r w:rsidR="007F64F8" w:rsidRPr="00CD7407">
              <w:rPr>
                <w:bCs/>
              </w:rPr>
              <w:t>kõnealusest sättest kustutatud.</w:t>
            </w:r>
            <w:r w:rsidR="00BD6494" w:rsidRPr="00CD7407">
              <w:t xml:space="preserve"> </w:t>
            </w:r>
            <w:r w:rsidR="00BD6494" w:rsidRPr="00CD7407">
              <w:rPr>
                <w:bCs/>
              </w:rPr>
              <w:t xml:space="preserve">Eelnõuga on </w:t>
            </w:r>
            <w:r w:rsidR="00CD7407">
              <w:rPr>
                <w:bCs/>
              </w:rPr>
              <w:t>kavandatud</w:t>
            </w:r>
            <w:r w:rsidR="00BD6494" w:rsidRPr="00CD7407">
              <w:rPr>
                <w:bCs/>
              </w:rPr>
              <w:t xml:space="preserve">, et KOV teostab kontrolli ainult KAOKS § 9 ettenähtud loamenetluse läbiviimine metsa- ja põllumaa menetlustes. </w:t>
            </w:r>
            <w:r w:rsidR="00CD7407">
              <w:rPr>
                <w:bCs/>
              </w:rPr>
              <w:t>Eelnõuga ei ole kavandatud</w:t>
            </w:r>
            <w:r w:rsidR="00BD6494" w:rsidRPr="00CD7407">
              <w:rPr>
                <w:bCs/>
              </w:rPr>
              <w:t xml:space="preserve">, et  kohalik omavalitsus peaks täitma ülesannet ka teiste omavalitsuste elanike või väljaspool oma haldusterritooriumi asuvate kinnisasjade suhtes. Samuti ei nähta </w:t>
            </w:r>
            <w:r w:rsidR="00BD6494" w:rsidRPr="00CD7407">
              <w:rPr>
                <w:bCs/>
              </w:rPr>
              <w:lastRenderedPageBreak/>
              <w:t>ette uut riikli</w:t>
            </w:r>
            <w:r w:rsidR="00CD7407">
              <w:rPr>
                <w:bCs/>
              </w:rPr>
              <w:t>k</w:t>
            </w:r>
            <w:r w:rsidR="00BD6494" w:rsidRPr="00CD7407">
              <w:rPr>
                <w:bCs/>
              </w:rPr>
              <w:t xml:space="preserve">ku ülesannet </w:t>
            </w:r>
            <w:proofErr w:type="spellStart"/>
            <w:r w:rsidR="00CD7407">
              <w:rPr>
                <w:bCs/>
              </w:rPr>
              <w:t>KAOKS-i</w:t>
            </w:r>
            <w:proofErr w:type="spellEnd"/>
            <w:r w:rsidR="00CD7407">
              <w:rPr>
                <w:bCs/>
              </w:rPr>
              <w:t xml:space="preserve"> </w:t>
            </w:r>
            <w:r w:rsidR="00BD6494" w:rsidRPr="00CD7407">
              <w:rPr>
                <w:bCs/>
              </w:rPr>
              <w:t xml:space="preserve">tähenduses, mille kulud tuleb katta riigieelarvest. Seletuskirjas </w:t>
            </w:r>
            <w:r w:rsidR="00CD7407">
              <w:rPr>
                <w:bCs/>
              </w:rPr>
              <w:t xml:space="preserve">on </w:t>
            </w:r>
            <w:r w:rsidR="00BD6494" w:rsidRPr="00CD7407">
              <w:rPr>
                <w:bCs/>
              </w:rPr>
              <w:t>täiendavalt hinnatud töökoormuse kasvu ja regionaalarengu mõju.</w:t>
            </w:r>
          </w:p>
        </w:tc>
      </w:tr>
      <w:tr w:rsidR="00485E42" w:rsidRPr="00FD19AE" w14:paraId="4DC2A137" w14:textId="77777777" w:rsidTr="00101EA0">
        <w:tc>
          <w:tcPr>
            <w:tcW w:w="704" w:type="dxa"/>
          </w:tcPr>
          <w:p w14:paraId="3453D5AF" w14:textId="11E727D9" w:rsidR="00485E42" w:rsidRPr="00C92D74" w:rsidRDefault="00101EA0" w:rsidP="00101EA0">
            <w:pPr>
              <w:jc w:val="both"/>
              <w:rPr>
                <w:bCs/>
              </w:rPr>
            </w:pPr>
            <w:r w:rsidRPr="00C92D74">
              <w:rPr>
                <w:bCs/>
              </w:rPr>
              <w:lastRenderedPageBreak/>
              <w:t>1.3</w:t>
            </w:r>
          </w:p>
        </w:tc>
        <w:tc>
          <w:tcPr>
            <w:tcW w:w="6804" w:type="dxa"/>
          </w:tcPr>
          <w:p w14:paraId="0F3961D6" w14:textId="7602985F" w:rsidR="00485E42" w:rsidRPr="00FD19AE" w:rsidRDefault="00485E42" w:rsidP="00101EA0">
            <w:pPr>
              <w:jc w:val="both"/>
              <w:rPr>
                <w:bCs/>
              </w:rPr>
            </w:pPr>
            <w:r w:rsidRPr="00FD19AE">
              <w:rPr>
                <w:color w:val="000000"/>
              </w:rPr>
              <w:t>Eelnõu vastuvõtmisel peab kohalikele omavalitsustele olema tagatud tasuta ja operatiivne ligipääs elamislubade ning muude vajalike registriandmete kontrollimiseks. Samuti peavad olema kehtestatud ühtsed juhised tegelike kasusaajate tuvastamiseks ning selge menetlusraamistik juhtudeks, kus tehing rikub seadusest tulenevaid piiranguid. Ilma nende eeldusteta jääb eelnõu rakendamine kohalike omavalitsuste vaatest õiguslikult ebaselgeks ja halduslikult koormavaks.</w:t>
            </w:r>
          </w:p>
        </w:tc>
        <w:tc>
          <w:tcPr>
            <w:tcW w:w="6662" w:type="dxa"/>
          </w:tcPr>
          <w:p w14:paraId="5009C18D" w14:textId="77777777" w:rsidR="00CD7407" w:rsidRDefault="008B4386" w:rsidP="00101EA0">
            <w:pPr>
              <w:jc w:val="both"/>
              <w:rPr>
                <w:bCs/>
              </w:rPr>
            </w:pPr>
            <w:r w:rsidRPr="00CD7407">
              <w:rPr>
                <w:bCs/>
                <w:u w:val="single"/>
              </w:rPr>
              <w:t>Arvestatud.</w:t>
            </w:r>
            <w:r w:rsidRPr="00FD19AE">
              <w:rPr>
                <w:bCs/>
              </w:rPr>
              <w:t xml:space="preserve"> </w:t>
            </w:r>
          </w:p>
          <w:p w14:paraId="7698DE05" w14:textId="77777777" w:rsidR="00CD7407" w:rsidRPr="00CD7407" w:rsidRDefault="008B4386" w:rsidP="00101EA0">
            <w:pPr>
              <w:jc w:val="both"/>
              <w:rPr>
                <w:bCs/>
              </w:rPr>
            </w:pPr>
            <w:r w:rsidRPr="00FD19AE">
              <w:rPr>
                <w:bCs/>
              </w:rPr>
              <w:t>Täiendatud seletuskirja.</w:t>
            </w:r>
            <w:r w:rsidR="00CD7407">
              <w:rPr>
                <w:bCs/>
              </w:rPr>
              <w:t xml:space="preserve"> </w:t>
            </w:r>
            <w:r w:rsidR="00CD7407" w:rsidRPr="00CD7407">
              <w:rPr>
                <w:bCs/>
              </w:rPr>
              <w:t xml:space="preserve">Kõigil kohalikel omavalitsustel on juurdepääs rahvastikuregistri (edaspidi </w:t>
            </w:r>
            <w:r w:rsidR="00CD7407" w:rsidRPr="00CD7407">
              <w:rPr>
                <w:bCs/>
                <w:i/>
                <w:iCs/>
              </w:rPr>
              <w:t>RR</w:t>
            </w:r>
            <w:r w:rsidR="00CD7407" w:rsidRPr="00CD7407">
              <w:rPr>
                <w:bCs/>
              </w:rPr>
              <w:t>) andmetele, erineda võivad eesmärgid ja juurdepääsu viisid. On vähemalt kolm erinevat elektroonilist kanalit, mis tagavad operatiivsuse, jääb ka lihtpäringu esitamise võimalus. Avaliku ülesande täitmiseks on juurdepääs RR andmetele tasuta. Vajadusel saab koostöös Siseministeeriumiga juurdepääsud üle vaadata ja kohaldada need vastava ülesande täitmisele vastavaks.</w:t>
            </w:r>
          </w:p>
          <w:p w14:paraId="774BA071" w14:textId="7D15D5FF" w:rsidR="00CD7407" w:rsidRPr="00CD7407" w:rsidRDefault="00CD7407" w:rsidP="00101EA0">
            <w:pPr>
              <w:jc w:val="both"/>
              <w:rPr>
                <w:bCs/>
              </w:rPr>
            </w:pPr>
            <w:r w:rsidRPr="00CD7407">
              <w:rPr>
                <w:bCs/>
              </w:rPr>
              <w:t>Tegelike kasusaajate andmekogu (TEKSA) on kättesaadav 2021. aastast alates. Juhised tegelike kasusaajate määramiseks on leitavad nii Rahandusministeeriumi, Finantsinspektsiooni kui ka Rahapesu Andmebüroo kodulehelt. Andmebaasi kasutamine võib tuua mõningast halduskoormust, kuid eeldatavasti on see proportsionaalne eesmärgiga.</w:t>
            </w:r>
          </w:p>
          <w:p w14:paraId="276AF841" w14:textId="348C22A7" w:rsidR="008B4386" w:rsidRPr="00FD19AE" w:rsidRDefault="00CD7407" w:rsidP="00101EA0">
            <w:pPr>
              <w:jc w:val="both"/>
              <w:rPr>
                <w:bCs/>
              </w:rPr>
            </w:pPr>
            <w:r w:rsidRPr="00CD7407">
              <w:rPr>
                <w:bCs/>
              </w:rPr>
              <w:t>Töös on arendus, mis ajakava järgi peaks looma kasutajapõhise juurdepääsu alates 10. juulist 2026. a. Arenduse järgselt on kohalikel omavalitsustel võimalik teha üksikpäringuid õigustatud huvi taotluse alusel lisades kirjelduse, milleks juurdepääsu on vaja. Uue süsteemiga antakse juhised, kuidas vajalikke taotlusi teha. Päringud on seni ja edaspidi tasuta. Vajadusel leitakse koostöös Siseministeeriumi ja Rahandusministeeriumiga vastused tekkinud küsimustele.</w:t>
            </w:r>
          </w:p>
        </w:tc>
      </w:tr>
      <w:tr w:rsidR="0005648E" w:rsidRPr="00FD19AE" w14:paraId="1FB4FB7A" w14:textId="77777777" w:rsidTr="00101EA0">
        <w:tc>
          <w:tcPr>
            <w:tcW w:w="704" w:type="dxa"/>
            <w:shd w:val="clear" w:color="auto" w:fill="D9E2F3" w:themeFill="accent1" w:themeFillTint="33"/>
          </w:tcPr>
          <w:p w14:paraId="78BFE338" w14:textId="5D0D371A" w:rsidR="0005648E" w:rsidRPr="00C92D74" w:rsidRDefault="00CA4260" w:rsidP="00101EA0">
            <w:pPr>
              <w:jc w:val="both"/>
              <w:rPr>
                <w:bCs/>
              </w:rPr>
            </w:pPr>
            <w:r>
              <w:rPr>
                <w:bCs/>
              </w:rPr>
              <w:t>2</w:t>
            </w:r>
            <w:r w:rsidR="00FD19AE" w:rsidRPr="00C92D74">
              <w:rPr>
                <w:bCs/>
              </w:rPr>
              <w:t>.</w:t>
            </w:r>
          </w:p>
        </w:tc>
        <w:tc>
          <w:tcPr>
            <w:tcW w:w="6804" w:type="dxa"/>
            <w:tcBorders>
              <w:top w:val="single" w:sz="4" w:space="0" w:color="auto"/>
            </w:tcBorders>
            <w:shd w:val="clear" w:color="auto" w:fill="D9E2F3" w:themeFill="accent1" w:themeFillTint="33"/>
          </w:tcPr>
          <w:p w14:paraId="7DE7C819" w14:textId="08514E8D" w:rsidR="0005648E" w:rsidRPr="00FD19AE" w:rsidRDefault="0005648E" w:rsidP="00101EA0">
            <w:pPr>
              <w:jc w:val="both"/>
              <w:rPr>
                <w:b/>
                <w:bCs/>
              </w:rPr>
            </w:pPr>
            <w:r w:rsidRPr="00FD19AE">
              <w:rPr>
                <w:b/>
                <w:bCs/>
              </w:rPr>
              <w:t>Notarite Koda</w:t>
            </w:r>
          </w:p>
        </w:tc>
        <w:tc>
          <w:tcPr>
            <w:tcW w:w="6662" w:type="dxa"/>
            <w:tcBorders>
              <w:top w:val="single" w:sz="4" w:space="0" w:color="auto"/>
              <w:bottom w:val="single" w:sz="4" w:space="0" w:color="auto"/>
            </w:tcBorders>
            <w:shd w:val="clear" w:color="auto" w:fill="D9E2F3" w:themeFill="accent1" w:themeFillTint="33"/>
          </w:tcPr>
          <w:p w14:paraId="3FF4718D" w14:textId="749AC6ED" w:rsidR="0005648E" w:rsidRPr="00FD19AE" w:rsidRDefault="0005648E" w:rsidP="00101EA0">
            <w:pPr>
              <w:jc w:val="both"/>
              <w:rPr>
                <w:bCs/>
                <w:u w:val="single"/>
              </w:rPr>
            </w:pPr>
          </w:p>
        </w:tc>
      </w:tr>
      <w:tr w:rsidR="0005648E" w:rsidRPr="00FD19AE" w14:paraId="21C64D65" w14:textId="77777777" w:rsidTr="00101EA0">
        <w:tc>
          <w:tcPr>
            <w:tcW w:w="704" w:type="dxa"/>
          </w:tcPr>
          <w:p w14:paraId="621EA3D0" w14:textId="469F12E6" w:rsidR="0005648E" w:rsidRPr="00C92D74" w:rsidRDefault="00CA4260" w:rsidP="00101EA0">
            <w:pPr>
              <w:jc w:val="both"/>
              <w:rPr>
                <w:bCs/>
              </w:rPr>
            </w:pPr>
            <w:r>
              <w:rPr>
                <w:bCs/>
              </w:rPr>
              <w:t>2</w:t>
            </w:r>
            <w:r w:rsidR="00101EA0" w:rsidRPr="00C92D74">
              <w:rPr>
                <w:bCs/>
              </w:rPr>
              <w:t>.1</w:t>
            </w:r>
          </w:p>
        </w:tc>
        <w:tc>
          <w:tcPr>
            <w:tcW w:w="6804" w:type="dxa"/>
            <w:tcBorders>
              <w:top w:val="single" w:sz="4" w:space="0" w:color="auto"/>
            </w:tcBorders>
          </w:tcPr>
          <w:p w14:paraId="74F068FA" w14:textId="487A08AA" w:rsidR="0005648E" w:rsidRPr="00EF3A0C" w:rsidRDefault="0005648E" w:rsidP="00101EA0">
            <w:pPr>
              <w:jc w:val="both"/>
              <w:outlineLvl w:val="1"/>
              <w:rPr>
                <w:rFonts w:eastAsia="Times New Roman"/>
                <w:kern w:val="0"/>
                <w:lang w:eastAsia="et-EE"/>
                <w14:ligatures w14:val="none"/>
              </w:rPr>
            </w:pPr>
            <w:r w:rsidRPr="00EF3A0C">
              <w:rPr>
                <w:rFonts w:eastAsia="Times New Roman"/>
                <w:kern w:val="0"/>
                <w:lang w:eastAsia="et-EE"/>
                <w14:ligatures w14:val="none"/>
              </w:rPr>
              <w:t>§ 2: võimalikud lüngad</w:t>
            </w:r>
            <w:r w:rsidR="00494590">
              <w:rPr>
                <w:rFonts w:eastAsia="Times New Roman"/>
                <w:kern w:val="0"/>
                <w:lang w:eastAsia="et-EE"/>
                <w14:ligatures w14:val="none"/>
              </w:rPr>
              <w:t>:</w:t>
            </w:r>
          </w:p>
          <w:p w14:paraId="1A32A29B" w14:textId="4E5F9110" w:rsidR="0005648E" w:rsidRPr="00FD19AE" w:rsidRDefault="0005648E" w:rsidP="00101EA0">
            <w:pPr>
              <w:jc w:val="both"/>
              <w:rPr>
                <w:rFonts w:eastAsia="Calibri"/>
              </w:rPr>
            </w:pPr>
            <w:r w:rsidRPr="00FD19AE">
              <w:rPr>
                <w:rFonts w:eastAsia="Times New Roman"/>
                <w:kern w:val="0"/>
                <w:lang w:eastAsia="et-EE"/>
                <w14:ligatures w14:val="none"/>
              </w:rPr>
              <w:t xml:space="preserve">Eelnõus ei muudeta KAOKS § 2 </w:t>
            </w:r>
            <w:r w:rsidR="00FA17CC" w:rsidRPr="00FD19AE">
              <w:rPr>
                <w:rFonts w:eastAsia="Times New Roman"/>
                <w:kern w:val="0"/>
                <w:lang w:eastAsia="et-EE"/>
                <w14:ligatures w14:val="none"/>
              </w:rPr>
              <w:t>l</w:t>
            </w:r>
            <w:r w:rsidR="00FA17CC">
              <w:rPr>
                <w:rFonts w:eastAsia="Times New Roman"/>
                <w:kern w:val="0"/>
                <w:lang w:eastAsia="et-EE"/>
                <w14:ligatures w14:val="none"/>
              </w:rPr>
              <w:t>õike</w:t>
            </w:r>
            <w:r w:rsidR="00FA17CC" w:rsidRPr="00FD19AE">
              <w:rPr>
                <w:rFonts w:eastAsia="Times New Roman"/>
                <w:kern w:val="0"/>
                <w:lang w:eastAsia="et-EE"/>
                <w14:ligatures w14:val="none"/>
              </w:rPr>
              <w:t xml:space="preserve"> </w:t>
            </w:r>
            <w:r w:rsidRPr="00FD19AE">
              <w:rPr>
                <w:rFonts w:eastAsia="Times New Roman"/>
                <w:kern w:val="0"/>
                <w:lang w:eastAsia="et-EE"/>
                <w14:ligatures w14:val="none"/>
              </w:rPr>
              <w:t>2 regulatsiooni.</w:t>
            </w:r>
            <w:r w:rsidR="00101340">
              <w:rPr>
                <w:rFonts w:eastAsia="Times New Roman"/>
                <w:kern w:val="0"/>
                <w:lang w:eastAsia="et-EE"/>
                <w14:ligatures w14:val="none"/>
              </w:rPr>
              <w:t xml:space="preserve"> </w:t>
            </w:r>
            <w:r w:rsidRPr="00FD19AE">
              <w:rPr>
                <w:rFonts w:eastAsia="Times New Roman"/>
                <w:kern w:val="0"/>
                <w:lang w:eastAsia="et-EE"/>
                <w14:ligatures w14:val="none"/>
              </w:rPr>
              <w:t xml:space="preserve">Seega võib piirangu all olev julgeolekuriskiga riigi kodakondsusega isik siiski omandada mõttelise osa kinnisasjast. Tegemist on olulise lüngaga, mis võimaldab piirangutest mööda minna – kõigepealt ostab ta </w:t>
            </w:r>
            <w:r w:rsidRPr="00FD19AE">
              <w:rPr>
                <w:rFonts w:eastAsia="Times New Roman"/>
                <w:kern w:val="0"/>
                <w:lang w:eastAsia="et-EE"/>
                <w14:ligatures w14:val="none"/>
              </w:rPr>
              <w:lastRenderedPageBreak/>
              <w:t>näiteks poole kinnistust ja seejärel teise poole (mida võimaldab § 2 l</w:t>
            </w:r>
            <w:r w:rsidR="00FA17CC">
              <w:rPr>
                <w:rFonts w:eastAsia="Times New Roman"/>
                <w:kern w:val="0"/>
                <w:lang w:eastAsia="et-EE"/>
                <w14:ligatures w14:val="none"/>
              </w:rPr>
              <w:t>õi</w:t>
            </w:r>
            <w:r w:rsidRPr="00FD19AE">
              <w:rPr>
                <w:rFonts w:eastAsia="Times New Roman"/>
                <w:kern w:val="0"/>
                <w:lang w:eastAsia="et-EE"/>
                <w14:ligatures w14:val="none"/>
              </w:rPr>
              <w:t>g</w:t>
            </w:r>
            <w:r w:rsidR="00FA17CC">
              <w:rPr>
                <w:rFonts w:eastAsia="Times New Roman"/>
                <w:kern w:val="0"/>
                <w:lang w:eastAsia="et-EE"/>
                <w14:ligatures w14:val="none"/>
              </w:rPr>
              <w:t>e</w:t>
            </w:r>
            <w:r w:rsidRPr="00FD19AE">
              <w:rPr>
                <w:rFonts w:eastAsia="Times New Roman"/>
                <w:kern w:val="0"/>
                <w:lang w:eastAsia="et-EE"/>
                <w14:ligatures w14:val="none"/>
              </w:rPr>
              <w:t xml:space="preserve"> 1 p</w:t>
            </w:r>
            <w:r w:rsidR="00FA17CC">
              <w:rPr>
                <w:rFonts w:eastAsia="Times New Roman"/>
                <w:kern w:val="0"/>
                <w:lang w:eastAsia="et-EE"/>
                <w14:ligatures w14:val="none"/>
              </w:rPr>
              <w:t>unkt</w:t>
            </w:r>
            <w:r w:rsidRPr="00FD19AE">
              <w:rPr>
                <w:rFonts w:eastAsia="Times New Roman"/>
                <w:kern w:val="0"/>
                <w:lang w:eastAsia="et-EE"/>
                <w14:ligatures w14:val="none"/>
              </w:rPr>
              <w:t xml:space="preserve"> 3 piiranguteta).</w:t>
            </w:r>
          </w:p>
        </w:tc>
        <w:tc>
          <w:tcPr>
            <w:tcW w:w="6662" w:type="dxa"/>
            <w:tcBorders>
              <w:top w:val="single" w:sz="4" w:space="0" w:color="auto"/>
            </w:tcBorders>
          </w:tcPr>
          <w:p w14:paraId="3549D5E9" w14:textId="77777777" w:rsidR="0005648E" w:rsidRPr="00FD19AE" w:rsidRDefault="00E3122C" w:rsidP="00101EA0">
            <w:pPr>
              <w:jc w:val="both"/>
              <w:rPr>
                <w:bCs/>
              </w:rPr>
            </w:pPr>
            <w:r w:rsidRPr="00101340">
              <w:rPr>
                <w:u w:val="single"/>
              </w:rPr>
              <w:lastRenderedPageBreak/>
              <w:t>Arvestatud</w:t>
            </w:r>
            <w:r w:rsidR="00454AF5" w:rsidRPr="00101340">
              <w:t>.</w:t>
            </w:r>
            <w:r w:rsidR="00454AF5" w:rsidRPr="00FD19AE">
              <w:rPr>
                <w:bCs/>
              </w:rPr>
              <w:t xml:space="preserve"> </w:t>
            </w:r>
          </w:p>
          <w:p w14:paraId="60C04A56" w14:textId="723C1D2E" w:rsidR="003608FA" w:rsidRPr="00A96250" w:rsidRDefault="001A1070" w:rsidP="003608FA">
            <w:pPr>
              <w:jc w:val="both"/>
              <w:rPr>
                <w:rFonts w:eastAsia="Calibri"/>
              </w:rPr>
            </w:pPr>
            <w:r>
              <w:rPr>
                <w:bCs/>
              </w:rPr>
              <w:t>Muudetud eelnõud.</w:t>
            </w:r>
            <w:r w:rsidR="003608FA">
              <w:rPr>
                <w:bCs/>
              </w:rPr>
              <w:t xml:space="preserve"> Eelnõu kohaselt sõnastatakse KAOKS § 2 l</w:t>
            </w:r>
            <w:r w:rsidR="00391019">
              <w:rPr>
                <w:bCs/>
              </w:rPr>
              <w:t>õi</w:t>
            </w:r>
            <w:r w:rsidR="003608FA">
              <w:rPr>
                <w:bCs/>
              </w:rPr>
              <w:t>g</w:t>
            </w:r>
            <w:r w:rsidR="00391019">
              <w:rPr>
                <w:bCs/>
              </w:rPr>
              <w:t>e</w:t>
            </w:r>
            <w:r w:rsidR="003608FA">
              <w:rPr>
                <w:bCs/>
              </w:rPr>
              <w:t xml:space="preserve"> 2 </w:t>
            </w:r>
            <w:r w:rsidR="003608FA">
              <w:rPr>
                <w:rFonts w:eastAsia="Calibri"/>
              </w:rPr>
              <w:t>järgmiselt: „</w:t>
            </w:r>
            <w:r w:rsidR="003608FA" w:rsidRPr="00A96250">
              <w:rPr>
                <w:rFonts w:eastAsia="Calibri"/>
              </w:rPr>
              <w:t xml:space="preserve">Kinnisasja omandamisega on käesolevas seaduses võrdsustatud kinnisasja mõttelise osa omandamine, kui kinnisasi tervikuna vastab käesoleva seaduse § 4 lõigetes 3–5 või §-s 5 </w:t>
            </w:r>
            <w:r w:rsidR="003608FA" w:rsidRPr="00A96250">
              <w:rPr>
                <w:rFonts w:eastAsia="Calibri"/>
              </w:rPr>
              <w:lastRenderedPageBreak/>
              <w:t>sätestatud nõuetele või asub käesoleva seaduse §-s 10 nimetatud piirangualal või kui kinnisasja tervikuna omandamisele kohaldub käesoleva seaduse § 10</w:t>
            </w:r>
            <w:r w:rsidR="003608FA" w:rsidRPr="00A96250">
              <w:rPr>
                <w:rFonts w:eastAsia="Calibri"/>
                <w:vertAlign w:val="superscript"/>
              </w:rPr>
              <w:t>1</w:t>
            </w:r>
            <w:r w:rsidR="003608FA" w:rsidRPr="00A96250">
              <w:rPr>
                <w:rFonts w:eastAsia="Calibri"/>
              </w:rPr>
              <w:t>.“</w:t>
            </w:r>
            <w:r w:rsidR="003608FA">
              <w:rPr>
                <w:rFonts w:eastAsia="Calibri"/>
              </w:rPr>
              <w:t>.</w:t>
            </w:r>
          </w:p>
          <w:p w14:paraId="4BF0BA81" w14:textId="77777777" w:rsidR="003608FA" w:rsidRPr="00A96250" w:rsidRDefault="003608FA" w:rsidP="003608FA">
            <w:pPr>
              <w:jc w:val="both"/>
              <w:rPr>
                <w:rFonts w:eastAsia="Calibri"/>
              </w:rPr>
            </w:pPr>
          </w:p>
          <w:p w14:paraId="539A7C72" w14:textId="6D2FCAF7" w:rsidR="00454AF5" w:rsidRPr="00FD19AE" w:rsidRDefault="00454AF5" w:rsidP="00101EA0">
            <w:pPr>
              <w:jc w:val="both"/>
              <w:rPr>
                <w:bCs/>
              </w:rPr>
            </w:pPr>
          </w:p>
          <w:p w14:paraId="2394E29C" w14:textId="61AC5B33" w:rsidR="00454AF5" w:rsidRPr="00FD19AE" w:rsidRDefault="00454AF5" w:rsidP="00101EA0">
            <w:pPr>
              <w:jc w:val="both"/>
              <w:rPr>
                <w:bCs/>
              </w:rPr>
            </w:pPr>
          </w:p>
        </w:tc>
      </w:tr>
      <w:tr w:rsidR="00E3122C" w:rsidRPr="00FD19AE" w14:paraId="04F4156F" w14:textId="77777777" w:rsidTr="00101EA0">
        <w:tc>
          <w:tcPr>
            <w:tcW w:w="704" w:type="dxa"/>
          </w:tcPr>
          <w:p w14:paraId="3EEDF04A" w14:textId="5203090E" w:rsidR="00E3122C" w:rsidRPr="00C92D74" w:rsidRDefault="00CA4260" w:rsidP="00101EA0">
            <w:pPr>
              <w:jc w:val="both"/>
              <w:rPr>
                <w:bCs/>
              </w:rPr>
            </w:pPr>
            <w:r>
              <w:rPr>
                <w:bCs/>
              </w:rPr>
              <w:lastRenderedPageBreak/>
              <w:t>2</w:t>
            </w:r>
            <w:r w:rsidR="00101EA0" w:rsidRPr="00C92D74">
              <w:rPr>
                <w:bCs/>
              </w:rPr>
              <w:t>.2</w:t>
            </w:r>
          </w:p>
        </w:tc>
        <w:tc>
          <w:tcPr>
            <w:tcW w:w="6804" w:type="dxa"/>
            <w:tcBorders>
              <w:top w:val="single" w:sz="4" w:space="0" w:color="auto"/>
            </w:tcBorders>
          </w:tcPr>
          <w:p w14:paraId="22E6ECE9" w14:textId="77777777" w:rsidR="00E3122C" w:rsidRPr="00FD19AE" w:rsidRDefault="00E3122C" w:rsidP="00101EA0">
            <w:pPr>
              <w:jc w:val="both"/>
              <w:rPr>
                <w:rFonts w:eastAsia="Times New Roman"/>
                <w:kern w:val="0"/>
                <w:lang w:eastAsia="et-EE"/>
                <w14:ligatures w14:val="none"/>
              </w:rPr>
            </w:pPr>
            <w:r w:rsidRPr="00FD19AE">
              <w:rPr>
                <w:rFonts w:eastAsia="Times New Roman"/>
                <w:kern w:val="0"/>
                <w:lang w:eastAsia="et-EE"/>
                <w14:ligatures w14:val="none"/>
              </w:rPr>
              <w:t>Juhime ka tähelepanu, et erinevate ühinguõiguslike tehingute kaudu on võimalik eelnõu eesmärgist hõlpsasti mööda minna, näiteks:</w:t>
            </w:r>
          </w:p>
          <w:p w14:paraId="101B7938" w14:textId="77777777" w:rsidR="00E3122C" w:rsidRPr="00FD19AE" w:rsidRDefault="00E3122C" w:rsidP="00101EA0">
            <w:pPr>
              <w:jc w:val="both"/>
              <w:rPr>
                <w:rFonts w:eastAsia="Times New Roman"/>
                <w:kern w:val="0"/>
                <w:lang w:eastAsia="et-EE"/>
                <w14:ligatures w14:val="none"/>
              </w:rPr>
            </w:pPr>
            <w:r w:rsidRPr="00FD19AE">
              <w:rPr>
                <w:rFonts w:eastAsia="Times New Roman"/>
                <w:kern w:val="0"/>
                <w:lang w:eastAsia="et-EE"/>
                <w14:ligatures w14:val="none"/>
              </w:rPr>
              <w:t xml:space="preserve">• kinnisasi omandatakse äriühingu kaudu, millele KAOKS piiranguid ei kehtesta; </w:t>
            </w:r>
          </w:p>
          <w:p w14:paraId="72BE8D99" w14:textId="77777777" w:rsidR="00CC4673" w:rsidRPr="00FD19AE" w:rsidRDefault="00E3122C" w:rsidP="00101EA0">
            <w:pPr>
              <w:jc w:val="both"/>
              <w:rPr>
                <w:rFonts w:eastAsia="Times New Roman"/>
                <w:kern w:val="0"/>
                <w:lang w:eastAsia="et-EE"/>
                <w14:ligatures w14:val="none"/>
              </w:rPr>
            </w:pPr>
            <w:r w:rsidRPr="00FD19AE">
              <w:rPr>
                <w:rFonts w:eastAsia="Times New Roman"/>
                <w:kern w:val="0"/>
                <w:lang w:eastAsia="et-EE"/>
                <w14:ligatures w14:val="none"/>
              </w:rPr>
              <w:t>• pärast kinnisasja omandamist võõrandatakse osaühingu osa piirangu all olevale isikule ja seda ei ole võimalik kuidagi takistada.</w:t>
            </w:r>
          </w:p>
          <w:p w14:paraId="492828BD" w14:textId="3713FCBA" w:rsidR="00E3122C" w:rsidRPr="00FD19AE" w:rsidRDefault="00E3122C" w:rsidP="00101EA0">
            <w:pPr>
              <w:jc w:val="both"/>
              <w:rPr>
                <w:rFonts w:eastAsia="Times New Roman"/>
                <w:b/>
                <w:bCs/>
                <w:kern w:val="0"/>
                <w:lang w:eastAsia="et-EE"/>
                <w14:ligatures w14:val="none"/>
              </w:rPr>
            </w:pPr>
            <w:r w:rsidRPr="00FD19AE">
              <w:rPr>
                <w:rFonts w:eastAsia="Times New Roman"/>
                <w:kern w:val="0"/>
                <w:lang w:eastAsia="et-EE"/>
                <w14:ligatures w14:val="none"/>
              </w:rPr>
              <w:t>Aitab ka see, kui 1 sendise kapitaliga ühingusse, mille ainuosanik on Vene kodanik, võtta juurde Eesti kodanikust osanik, kellele kuulub 10 senti, siis ei ole Vene kodanik enam tegelik kasusaaja: osalus alla 25%. </w:t>
            </w:r>
            <w:proofErr w:type="spellStart"/>
            <w:r w:rsidRPr="00FD19AE">
              <w:rPr>
                <w:rFonts w:eastAsia="Times New Roman"/>
                <w:kern w:val="0"/>
                <w:lang w:eastAsia="et-EE"/>
                <w14:ligatures w14:val="none"/>
              </w:rPr>
              <w:t>KAOKS-i</w:t>
            </w:r>
            <w:proofErr w:type="spellEnd"/>
            <w:r w:rsidRPr="00FD19AE">
              <w:rPr>
                <w:rFonts w:eastAsia="Times New Roman"/>
                <w:kern w:val="0"/>
                <w:lang w:eastAsia="et-EE"/>
                <w14:ligatures w14:val="none"/>
              </w:rPr>
              <w:t xml:space="preserve"> ei kohaldada ka ühinemis- ja jagunemistehingutel.</w:t>
            </w:r>
          </w:p>
        </w:tc>
        <w:tc>
          <w:tcPr>
            <w:tcW w:w="6662" w:type="dxa"/>
            <w:tcBorders>
              <w:top w:val="single" w:sz="4" w:space="0" w:color="auto"/>
            </w:tcBorders>
          </w:tcPr>
          <w:p w14:paraId="2F65D783" w14:textId="77777777" w:rsidR="001A1070" w:rsidRPr="001A1070" w:rsidRDefault="00E3122C" w:rsidP="00101EA0">
            <w:pPr>
              <w:jc w:val="both"/>
              <w:rPr>
                <w:bCs/>
                <w:u w:val="single"/>
              </w:rPr>
            </w:pPr>
            <w:r w:rsidRPr="001A1070">
              <w:rPr>
                <w:bCs/>
                <w:u w:val="single"/>
              </w:rPr>
              <w:t xml:space="preserve">Mitte arvestatud. </w:t>
            </w:r>
          </w:p>
          <w:p w14:paraId="24AFBD0B" w14:textId="781986D6" w:rsidR="00E3122C" w:rsidRPr="00FD19AE" w:rsidRDefault="00E3122C" w:rsidP="00101EA0">
            <w:pPr>
              <w:jc w:val="both"/>
              <w:rPr>
                <w:bCs/>
                <w:u w:val="single"/>
              </w:rPr>
            </w:pPr>
            <w:r w:rsidRPr="00FD19AE">
              <w:rPr>
                <w:bCs/>
              </w:rPr>
              <w:t xml:space="preserve">Äriühingute </w:t>
            </w:r>
            <w:r w:rsidR="007749A2" w:rsidRPr="00FD19AE">
              <w:rPr>
                <w:bCs/>
              </w:rPr>
              <w:t xml:space="preserve">omandisuhete reguleerimine või </w:t>
            </w:r>
            <w:r w:rsidR="001A1070">
              <w:rPr>
                <w:bCs/>
              </w:rPr>
              <w:t xml:space="preserve">sellesse </w:t>
            </w:r>
            <w:r w:rsidR="007749A2" w:rsidRPr="00FD19AE">
              <w:rPr>
                <w:bCs/>
              </w:rPr>
              <w:t xml:space="preserve">sekkumine eeldab </w:t>
            </w:r>
            <w:r w:rsidR="001A1070">
              <w:rPr>
                <w:bCs/>
              </w:rPr>
              <w:t xml:space="preserve">olulist ja </w:t>
            </w:r>
            <w:r w:rsidR="007749A2" w:rsidRPr="00FD19AE">
              <w:rPr>
                <w:bCs/>
              </w:rPr>
              <w:t xml:space="preserve">põhimõttelist äriõiguse muutmist. Käesoleval ajal puudub süsteemne protsess, mis seiraks või võimaldaks sekkuda ettevõtete omandistruktuuri muutustele. Lisaks kinnisasjadele bilansis võib olla sellistel muutustel palju muid tegureid ja tingimusi, millega tuleks </w:t>
            </w:r>
            <w:r w:rsidR="001A1070" w:rsidRPr="00FD19AE">
              <w:rPr>
                <w:bCs/>
              </w:rPr>
              <w:t xml:space="preserve">samuti </w:t>
            </w:r>
            <w:r w:rsidR="007749A2" w:rsidRPr="00FD19AE">
              <w:rPr>
                <w:bCs/>
              </w:rPr>
              <w:t>arvestada. Sellest tulenevalt n</w:t>
            </w:r>
            <w:r w:rsidRPr="00FD19AE">
              <w:rPr>
                <w:bCs/>
              </w:rPr>
              <w:t>imetatud lünga kõrvaldamine võib omada suurt mõju kõikidele muudele seonduvatele protsessidele, mis ei pruugi olla proportsionaalne, muudaks muid äriühingutega seotud toiminguid koormavaks (äriühingutele ja ettevõtluskeskkonnale laiemalt)</w:t>
            </w:r>
            <w:r w:rsidR="007749A2" w:rsidRPr="00FD19AE">
              <w:rPr>
                <w:bCs/>
              </w:rPr>
              <w:t xml:space="preserve"> ning võib oluliselt pärssida majanduskeskkonda. </w:t>
            </w:r>
            <w:r w:rsidR="00F0799F" w:rsidRPr="00FD19AE">
              <w:rPr>
                <w:bCs/>
              </w:rPr>
              <w:t xml:space="preserve">Ettepanek on </w:t>
            </w:r>
            <w:r w:rsidR="001A1070">
              <w:rPr>
                <w:bCs/>
              </w:rPr>
              <w:t xml:space="preserve">väärt edasist hindamist </w:t>
            </w:r>
            <w:r w:rsidR="00F0799F" w:rsidRPr="00FD19AE">
              <w:rPr>
                <w:bCs/>
              </w:rPr>
              <w:t>ja nõuab põhjalikku analüüsi ning täiendavate lahendusettepanekute kaalumist, mis ei mahu antud eelnõu otsustus- ega ajaraami ning</w:t>
            </w:r>
            <w:r w:rsidRPr="00FD19AE">
              <w:rPr>
                <w:bCs/>
              </w:rPr>
              <w:t xml:space="preserve"> </w:t>
            </w:r>
            <w:r w:rsidR="00F0799F" w:rsidRPr="00FD19AE">
              <w:rPr>
                <w:bCs/>
              </w:rPr>
              <w:t>võib olla jätkutegevus järgmise parendusettepanekute paketi osana.</w:t>
            </w:r>
          </w:p>
        </w:tc>
      </w:tr>
      <w:tr w:rsidR="00E3122C" w:rsidRPr="00FD19AE" w14:paraId="168A1A65" w14:textId="77777777" w:rsidTr="00101EA0">
        <w:tc>
          <w:tcPr>
            <w:tcW w:w="704" w:type="dxa"/>
          </w:tcPr>
          <w:p w14:paraId="2E4C899F" w14:textId="7EEDA3A6" w:rsidR="00E3122C" w:rsidRPr="00C92D74" w:rsidRDefault="00CA4260" w:rsidP="00101EA0">
            <w:pPr>
              <w:jc w:val="both"/>
              <w:rPr>
                <w:bCs/>
              </w:rPr>
            </w:pPr>
            <w:r>
              <w:rPr>
                <w:bCs/>
              </w:rPr>
              <w:t>2</w:t>
            </w:r>
            <w:r w:rsidR="00101EA0" w:rsidRPr="00C92D74">
              <w:rPr>
                <w:bCs/>
              </w:rPr>
              <w:t>.3</w:t>
            </w:r>
          </w:p>
        </w:tc>
        <w:tc>
          <w:tcPr>
            <w:tcW w:w="6804" w:type="dxa"/>
            <w:tcBorders>
              <w:top w:val="single" w:sz="4" w:space="0" w:color="auto"/>
            </w:tcBorders>
          </w:tcPr>
          <w:p w14:paraId="49486B55" w14:textId="77146BE0" w:rsidR="00E3122C" w:rsidRPr="00FD19AE" w:rsidRDefault="00E3122C" w:rsidP="00101EA0">
            <w:pPr>
              <w:jc w:val="both"/>
              <w:rPr>
                <w:rFonts w:eastAsia="Times New Roman"/>
                <w:kern w:val="0"/>
                <w:lang w:eastAsia="et-EE"/>
                <w14:ligatures w14:val="none"/>
              </w:rPr>
            </w:pPr>
            <w:r w:rsidRPr="00FD19AE">
              <w:rPr>
                <w:rFonts w:eastAsia="Calibri"/>
              </w:rPr>
              <w:t xml:space="preserve">Vajaks ka täpsustamist, kas § 2 </w:t>
            </w:r>
            <w:r w:rsidR="00FA17CC" w:rsidRPr="00FD19AE">
              <w:rPr>
                <w:rFonts w:eastAsia="Calibri"/>
              </w:rPr>
              <w:t>l</w:t>
            </w:r>
            <w:r w:rsidR="00FA17CC">
              <w:rPr>
                <w:rFonts w:eastAsia="Calibri"/>
              </w:rPr>
              <w:t>õike</w:t>
            </w:r>
            <w:r w:rsidR="00FA17CC" w:rsidRPr="00FD19AE">
              <w:rPr>
                <w:rFonts w:eastAsia="Calibri"/>
              </w:rPr>
              <w:t xml:space="preserve"> </w:t>
            </w:r>
            <w:r w:rsidRPr="00FD19AE">
              <w:rPr>
                <w:rFonts w:eastAsia="Calibri"/>
              </w:rPr>
              <w:t xml:space="preserve">1 punktis 6 on silmas peetud vaid pärijaks olemist või ka annaku saamist?  Vastavalt </w:t>
            </w:r>
            <w:proofErr w:type="spellStart"/>
            <w:r w:rsidRPr="00FD19AE">
              <w:rPr>
                <w:rFonts w:eastAsia="Calibri"/>
              </w:rPr>
              <w:t>PärS</w:t>
            </w:r>
            <w:proofErr w:type="spellEnd"/>
            <w:r w:rsidRPr="00FD19AE">
              <w:rPr>
                <w:rFonts w:eastAsia="Calibri"/>
              </w:rPr>
              <w:t xml:space="preserve"> § 56 </w:t>
            </w:r>
            <w:r w:rsidR="00FA17CC">
              <w:rPr>
                <w:rFonts w:eastAsia="Calibri"/>
              </w:rPr>
              <w:t xml:space="preserve">lõikele </w:t>
            </w:r>
            <w:r w:rsidRPr="00FD19AE">
              <w:rPr>
                <w:rFonts w:eastAsia="Calibri"/>
              </w:rPr>
              <w:t>1 kui testaator ei ole määranud isikule kogu oma vara ega selle mõttelist osa, vaid üksnes teatud varalise hüve, pidamata hüve saajat oma õigusjärglaseks, loetakse hüve annakuks ja hüve saaja annakusaajaks. Annaku määramise korraldus annab annakusaajale õiguse nõuda annakutäitjalt annakuks määratud eseme üleandmist, mis tähendab, et kinnistu puhul tuleb pärija(te)l ja annakusaajal sõlmida notariaalselt tõestatud leping annaku eseme annakusaajale üle andmiseks. </w:t>
            </w:r>
          </w:p>
        </w:tc>
        <w:tc>
          <w:tcPr>
            <w:tcW w:w="6662" w:type="dxa"/>
            <w:tcBorders>
              <w:top w:val="single" w:sz="4" w:space="0" w:color="auto"/>
            </w:tcBorders>
          </w:tcPr>
          <w:p w14:paraId="657DFA01" w14:textId="77777777" w:rsidR="001A1070" w:rsidRPr="001A1070" w:rsidRDefault="00CC4673" w:rsidP="00101EA0">
            <w:pPr>
              <w:jc w:val="both"/>
              <w:rPr>
                <w:bCs/>
                <w:u w:val="single"/>
              </w:rPr>
            </w:pPr>
            <w:r w:rsidRPr="001A1070">
              <w:rPr>
                <w:bCs/>
                <w:u w:val="single"/>
              </w:rPr>
              <w:t xml:space="preserve">Arvestatud. </w:t>
            </w:r>
          </w:p>
          <w:p w14:paraId="0084FF1A" w14:textId="5D1558CB" w:rsidR="00E3122C" w:rsidRPr="00FD19AE" w:rsidRDefault="001A1070" w:rsidP="00101EA0">
            <w:pPr>
              <w:jc w:val="both"/>
              <w:rPr>
                <w:bCs/>
              </w:rPr>
            </w:pPr>
            <w:r>
              <w:rPr>
                <w:bCs/>
              </w:rPr>
              <w:t xml:space="preserve">Täiendatud eelnõud sõnadega </w:t>
            </w:r>
            <w:r w:rsidR="00CC4673" w:rsidRPr="00FD19AE">
              <w:rPr>
                <w:bCs/>
              </w:rPr>
              <w:t xml:space="preserve">„annaku saamisel“. </w:t>
            </w:r>
          </w:p>
          <w:p w14:paraId="41D82E80" w14:textId="77777777" w:rsidR="00CC4673" w:rsidRPr="00FD19AE" w:rsidRDefault="00CC4673" w:rsidP="00101EA0">
            <w:pPr>
              <w:jc w:val="both"/>
              <w:rPr>
                <w:bCs/>
              </w:rPr>
            </w:pPr>
          </w:p>
          <w:p w14:paraId="7A4A7C29" w14:textId="1D914779" w:rsidR="00CC4673" w:rsidRPr="00FD19AE" w:rsidRDefault="00CC4673" w:rsidP="00101EA0">
            <w:pPr>
              <w:jc w:val="both"/>
              <w:rPr>
                <w:bCs/>
                <w:u w:val="single"/>
              </w:rPr>
            </w:pPr>
          </w:p>
        </w:tc>
      </w:tr>
      <w:tr w:rsidR="0005648E" w:rsidRPr="00FD19AE" w14:paraId="63CC6DF1" w14:textId="77777777" w:rsidTr="00101EA0">
        <w:tc>
          <w:tcPr>
            <w:tcW w:w="704" w:type="dxa"/>
          </w:tcPr>
          <w:p w14:paraId="3F45EE3C" w14:textId="4C2BBDB3" w:rsidR="0005648E" w:rsidRPr="00C92D74" w:rsidRDefault="00CA4260" w:rsidP="00101EA0">
            <w:pPr>
              <w:jc w:val="both"/>
              <w:rPr>
                <w:bCs/>
              </w:rPr>
            </w:pPr>
            <w:r>
              <w:rPr>
                <w:bCs/>
              </w:rPr>
              <w:lastRenderedPageBreak/>
              <w:t>2</w:t>
            </w:r>
            <w:r w:rsidR="00101EA0" w:rsidRPr="00C92D74">
              <w:rPr>
                <w:bCs/>
              </w:rPr>
              <w:t>.4</w:t>
            </w:r>
          </w:p>
        </w:tc>
        <w:tc>
          <w:tcPr>
            <w:tcW w:w="6804" w:type="dxa"/>
            <w:tcBorders>
              <w:top w:val="single" w:sz="4" w:space="0" w:color="auto"/>
            </w:tcBorders>
          </w:tcPr>
          <w:p w14:paraId="712BB15A" w14:textId="657B5EE4" w:rsidR="0005648E" w:rsidRPr="00EF3A0C" w:rsidRDefault="0005648E" w:rsidP="00101EA0">
            <w:pPr>
              <w:spacing w:line="259" w:lineRule="auto"/>
              <w:jc w:val="both"/>
              <w:rPr>
                <w:rFonts w:eastAsia="Calibri"/>
              </w:rPr>
            </w:pPr>
            <w:r w:rsidRPr="00EF3A0C">
              <w:rPr>
                <w:rFonts w:eastAsia="Calibri"/>
              </w:rPr>
              <w:t>Piirangualade loetelu § 10 l</w:t>
            </w:r>
            <w:r w:rsidR="00FA17CC">
              <w:rPr>
                <w:rFonts w:eastAsia="Calibri"/>
              </w:rPr>
              <w:t>õi</w:t>
            </w:r>
            <w:r w:rsidRPr="00EF3A0C">
              <w:rPr>
                <w:rFonts w:eastAsia="Calibri"/>
              </w:rPr>
              <w:t>g</w:t>
            </w:r>
            <w:r w:rsidR="00FA17CC">
              <w:rPr>
                <w:rFonts w:eastAsia="Calibri"/>
              </w:rPr>
              <w:t>e</w:t>
            </w:r>
            <w:r w:rsidRPr="00EF3A0C">
              <w:rPr>
                <w:rFonts w:eastAsia="Calibri"/>
              </w:rPr>
              <w:t xml:space="preserve"> 1 p</w:t>
            </w:r>
            <w:r w:rsidR="00FA17CC">
              <w:rPr>
                <w:rFonts w:eastAsia="Calibri"/>
              </w:rPr>
              <w:t>unkt</w:t>
            </w:r>
            <w:r w:rsidR="00391019">
              <w:rPr>
                <w:rFonts w:eastAsia="Calibri"/>
              </w:rPr>
              <w:t>id</w:t>
            </w:r>
            <w:r w:rsidRPr="00EF3A0C">
              <w:rPr>
                <w:rFonts w:eastAsia="Calibri"/>
              </w:rPr>
              <w:t xml:space="preserve"> 6-17</w:t>
            </w:r>
            <w:r w:rsidR="00C41A65">
              <w:rPr>
                <w:rFonts w:eastAsia="Calibri"/>
              </w:rPr>
              <w:t xml:space="preserve"> (</w:t>
            </w:r>
            <w:r w:rsidR="00C41A65" w:rsidRPr="00C41A65">
              <w:rPr>
                <w:rFonts w:eastAsia="Calibri"/>
              </w:rPr>
              <w:t>Vabariigi Valitsusele esitatud eelnõu § 1 punkt 8</w:t>
            </w:r>
            <w:r w:rsidR="00C41A65">
              <w:rPr>
                <w:rFonts w:eastAsia="Calibri"/>
              </w:rPr>
              <w:t xml:space="preserve">, eelnõu kohaselt KAOKS § 10 </w:t>
            </w:r>
            <w:r w:rsidR="00FA17CC">
              <w:rPr>
                <w:rFonts w:eastAsia="Calibri"/>
              </w:rPr>
              <w:t xml:space="preserve">lõike 1 </w:t>
            </w:r>
            <w:r w:rsidR="00C41A65">
              <w:rPr>
                <w:rFonts w:eastAsia="Calibri"/>
              </w:rPr>
              <w:t>punktid 2-13</w:t>
            </w:r>
            <w:r w:rsidRPr="00EF3A0C">
              <w:rPr>
                <w:rFonts w:eastAsia="Calibri"/>
              </w:rPr>
              <w:t>)</w:t>
            </w:r>
            <w:r w:rsidR="00494590" w:rsidRPr="00EF3A0C">
              <w:rPr>
                <w:rFonts w:eastAsia="Calibri"/>
              </w:rPr>
              <w:t>:</w:t>
            </w:r>
          </w:p>
          <w:p w14:paraId="343FC09C" w14:textId="77777777" w:rsidR="0005648E" w:rsidRPr="00FD19AE" w:rsidRDefault="0005648E" w:rsidP="00101EA0">
            <w:pPr>
              <w:spacing w:line="259" w:lineRule="auto"/>
              <w:jc w:val="both"/>
              <w:rPr>
                <w:rFonts w:eastAsia="Calibri"/>
              </w:rPr>
            </w:pPr>
            <w:r w:rsidRPr="00FD19AE">
              <w:rPr>
                <w:rFonts w:eastAsia="Calibri"/>
              </w:rPr>
              <w:t>Teeme ettepaneku sätestada piiranguala külade loetelu rakendusaktis, kus neid on lihtsam ajakohasena hoida, mitte seaduse tekstis viitega 01.01.27 halduspiiridele.</w:t>
            </w:r>
          </w:p>
          <w:p w14:paraId="0CCCDE57" w14:textId="77777777" w:rsidR="0005648E" w:rsidRPr="00FD19AE" w:rsidRDefault="0005648E" w:rsidP="00101EA0">
            <w:pPr>
              <w:spacing w:line="259" w:lineRule="auto"/>
              <w:jc w:val="both"/>
              <w:rPr>
                <w:rFonts w:eastAsia="Calibri"/>
              </w:rPr>
            </w:pPr>
            <w:r w:rsidRPr="00FD19AE">
              <w:rPr>
                <w:rFonts w:eastAsia="Calibri"/>
              </w:rPr>
              <w:t xml:space="preserve">Praegune lahendus tekitab samasuguse probleemi nagu kehtivas regulatsioonis: haldusreformide vms tagajärjel võib olla keeruline tuvastada, milline oli piiranguala kindlal kuupäeval (eriti kui kaardirakendus ei tööta, mida tuleb paraku üsna tihti ette). </w:t>
            </w:r>
          </w:p>
          <w:p w14:paraId="78D14FBB" w14:textId="77777777" w:rsidR="0005648E" w:rsidRPr="00FD19AE" w:rsidRDefault="0005648E" w:rsidP="00101EA0">
            <w:pPr>
              <w:jc w:val="both"/>
              <w:rPr>
                <w:b/>
              </w:rPr>
            </w:pPr>
          </w:p>
        </w:tc>
        <w:tc>
          <w:tcPr>
            <w:tcW w:w="6662" w:type="dxa"/>
            <w:tcBorders>
              <w:top w:val="single" w:sz="4" w:space="0" w:color="auto"/>
            </w:tcBorders>
          </w:tcPr>
          <w:p w14:paraId="6A991E33" w14:textId="77777777" w:rsidR="001A1070" w:rsidRPr="001A1070" w:rsidRDefault="00FF7C15" w:rsidP="00101EA0">
            <w:pPr>
              <w:jc w:val="both"/>
              <w:rPr>
                <w:bCs/>
                <w:u w:val="single"/>
              </w:rPr>
            </w:pPr>
            <w:r w:rsidRPr="001A1070">
              <w:rPr>
                <w:bCs/>
                <w:u w:val="single"/>
              </w:rPr>
              <w:t xml:space="preserve">Mitte arvestatud. </w:t>
            </w:r>
          </w:p>
          <w:p w14:paraId="29DE656D" w14:textId="16FC5D6F" w:rsidR="0005648E" w:rsidRPr="00FD19AE" w:rsidRDefault="00FF7C15" w:rsidP="00101EA0">
            <w:pPr>
              <w:jc w:val="both"/>
              <w:rPr>
                <w:bCs/>
              </w:rPr>
            </w:pPr>
            <w:r w:rsidRPr="00FD19AE">
              <w:rPr>
                <w:bCs/>
              </w:rPr>
              <w:t xml:space="preserve">On oluline, et piiranguala oleks kehtestatud seaduse tasandil, sealhulgas õigusselguse ja õiguskindluse eesmärgil. </w:t>
            </w:r>
          </w:p>
          <w:p w14:paraId="10ECB445" w14:textId="37F7EF68" w:rsidR="00FF7C15" w:rsidRPr="00FD19AE" w:rsidRDefault="00FF7C15" w:rsidP="00101EA0">
            <w:pPr>
              <w:jc w:val="both"/>
              <w:rPr>
                <w:bCs/>
              </w:rPr>
            </w:pPr>
            <w:r w:rsidRPr="00FD19AE">
              <w:rPr>
                <w:bCs/>
              </w:rPr>
              <w:t>Kaardirakendus luuakse, et oleks lihtsam tuvastada piiranguala.</w:t>
            </w:r>
            <w:r w:rsidR="006537B6" w:rsidRPr="00FD19AE">
              <w:rPr>
                <w:bCs/>
              </w:rPr>
              <w:t xml:space="preserve"> Vajadusel tegeletakse selle töökindluse ja kättesaadavuse parendamisega. Süsteemse lahenduse, mis ei eelda 01.01.27 kuupäevaga fikseerimist</w:t>
            </w:r>
            <w:r w:rsidR="001A1070">
              <w:rPr>
                <w:bCs/>
              </w:rPr>
              <w:t>,</w:t>
            </w:r>
            <w:r w:rsidR="006537B6" w:rsidRPr="00FD19AE">
              <w:rPr>
                <w:bCs/>
              </w:rPr>
              <w:t xml:space="preserve"> saab kehtestada, kui riigil tekib tehniline võimekus kõik tehnilised muutused automaatselt kaardirakendusse kuvada. </w:t>
            </w:r>
            <w:r w:rsidR="001A1070">
              <w:rPr>
                <w:bCs/>
              </w:rPr>
              <w:t xml:space="preserve">See eesmärk on seatud, kuid </w:t>
            </w:r>
            <w:r w:rsidR="006537B6" w:rsidRPr="00FD19AE">
              <w:rPr>
                <w:bCs/>
              </w:rPr>
              <w:t xml:space="preserve">see eeldab täiendavat ajalist ja rahalist ressurssi. Tehniliste eelduste tekkimisel on võimalik vastav muudatus luua. See võib olla järgmise parenduspaketi osa. </w:t>
            </w:r>
          </w:p>
        </w:tc>
      </w:tr>
      <w:tr w:rsidR="0005648E" w:rsidRPr="00FD19AE" w14:paraId="4FD4BC6C" w14:textId="77777777" w:rsidTr="00101EA0">
        <w:tc>
          <w:tcPr>
            <w:tcW w:w="704" w:type="dxa"/>
          </w:tcPr>
          <w:p w14:paraId="448DC03A" w14:textId="7941E8D5" w:rsidR="0005648E" w:rsidRPr="00C92D74" w:rsidRDefault="00CA4260" w:rsidP="00101EA0">
            <w:pPr>
              <w:jc w:val="both"/>
              <w:rPr>
                <w:bCs/>
              </w:rPr>
            </w:pPr>
            <w:r>
              <w:rPr>
                <w:bCs/>
              </w:rPr>
              <w:t>2</w:t>
            </w:r>
            <w:r w:rsidR="00101EA0" w:rsidRPr="00C92D74">
              <w:rPr>
                <w:bCs/>
              </w:rPr>
              <w:t>.5</w:t>
            </w:r>
          </w:p>
        </w:tc>
        <w:tc>
          <w:tcPr>
            <w:tcW w:w="6804" w:type="dxa"/>
            <w:tcBorders>
              <w:top w:val="single" w:sz="4" w:space="0" w:color="auto"/>
            </w:tcBorders>
          </w:tcPr>
          <w:p w14:paraId="72C01136" w14:textId="48F44E08" w:rsidR="0005648E" w:rsidRPr="00EF3A0C" w:rsidRDefault="0005648E" w:rsidP="00101EA0">
            <w:pPr>
              <w:jc w:val="both"/>
              <w:outlineLvl w:val="1"/>
              <w:rPr>
                <w:rFonts w:eastAsia="Times New Roman"/>
                <w:kern w:val="0"/>
                <w:lang w:eastAsia="et-EE"/>
                <w14:ligatures w14:val="none"/>
              </w:rPr>
            </w:pPr>
            <w:r w:rsidRPr="00EF3A0C">
              <w:rPr>
                <w:rFonts w:eastAsia="Times New Roman"/>
                <w:kern w:val="0"/>
                <w:lang w:eastAsia="et-EE"/>
                <w14:ligatures w14:val="none"/>
              </w:rPr>
              <w:t xml:space="preserve">§ 10 </w:t>
            </w:r>
            <w:r w:rsidR="00FA17CC">
              <w:rPr>
                <w:rFonts w:eastAsia="Times New Roman"/>
                <w:kern w:val="0"/>
                <w:lang w:eastAsia="et-EE"/>
                <w14:ligatures w14:val="none"/>
              </w:rPr>
              <w:t xml:space="preserve">lõige </w:t>
            </w:r>
            <w:r w:rsidRPr="00EF3A0C">
              <w:rPr>
                <w:rFonts w:eastAsia="Times New Roman"/>
                <w:kern w:val="0"/>
                <w:lang w:eastAsia="et-EE"/>
                <w14:ligatures w14:val="none"/>
              </w:rPr>
              <w:t xml:space="preserve">1¹ </w:t>
            </w:r>
            <w:r w:rsidR="00C41A65">
              <w:rPr>
                <w:rFonts w:eastAsia="Calibri"/>
              </w:rPr>
              <w:t>(</w:t>
            </w:r>
            <w:r w:rsidR="00C41A65" w:rsidRPr="00C41A65">
              <w:rPr>
                <w:rFonts w:eastAsia="Calibri"/>
              </w:rPr>
              <w:t>Vabariigi Valitsusele esitatud eelnõu § 1 punkt 8</w:t>
            </w:r>
            <w:r w:rsidR="00C41A65">
              <w:rPr>
                <w:rFonts w:eastAsia="Calibri"/>
              </w:rPr>
              <w:t xml:space="preserve">, eelnõu kohaselt KAOKS § 10 lõige 2) </w:t>
            </w:r>
            <w:r w:rsidRPr="00EF3A0C">
              <w:rPr>
                <w:rFonts w:eastAsia="Times New Roman"/>
                <w:kern w:val="0"/>
                <w:lang w:eastAsia="et-EE"/>
                <w14:ligatures w14:val="none"/>
              </w:rPr>
              <w:t>võib tuua kaasa ebaproportsionaalse tulemuse EL äriühingute puhul</w:t>
            </w:r>
            <w:r w:rsidR="00494590" w:rsidRPr="00EF3A0C">
              <w:rPr>
                <w:rFonts w:eastAsia="Times New Roman"/>
                <w:kern w:val="0"/>
                <w:lang w:eastAsia="et-EE"/>
                <w14:ligatures w14:val="none"/>
              </w:rPr>
              <w:t>:</w:t>
            </w:r>
          </w:p>
          <w:p w14:paraId="4D613815" w14:textId="5F6276C0"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 xml:space="preserve">§ 10 </w:t>
            </w:r>
            <w:r w:rsidR="00FA17CC">
              <w:rPr>
                <w:rFonts w:eastAsia="Times New Roman"/>
                <w:kern w:val="0"/>
                <w:lang w:eastAsia="et-EE"/>
                <w14:ligatures w14:val="none"/>
              </w:rPr>
              <w:t>lõike</w:t>
            </w:r>
            <w:r w:rsidRPr="00FD19AE">
              <w:rPr>
                <w:rFonts w:eastAsia="Times New Roman"/>
                <w:kern w:val="0"/>
                <w:lang w:eastAsia="et-EE"/>
                <w14:ligatures w14:val="none"/>
              </w:rPr>
              <w:t>1¹ kohaselt laieneb piirang ka juriidilisele isikule, sõltumata tema asukohast, kui tema tegelik kasusaaja kuulub piirangu alla.</w:t>
            </w:r>
          </w:p>
          <w:p w14:paraId="25B15406" w14:textId="77777777"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 xml:space="preserve">See tähendab, et Eesti või EL liikmesriigi äriühing ei võiks keelualal kinnisasja omandada, kui üks tema tegelikest kasusaajatest on näiteks 25% osalusega kolmanda riigi (nt USA) kodanik. </w:t>
            </w:r>
          </w:p>
          <w:p w14:paraId="0D144871" w14:textId="686E93C0"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Tekib küsimus, kas see on olnud eelnõu koostaja tegelik eesmärk. Tegelik kasusaaja ei ole alati kontrolli omav isik. Praegune sõnastus võib praktikas mõjutada väga suurt hulka tavapäraseid Euroopa ettevõtteid, kelle omandistruktuuris esineb kolmandate riikide kapitali.</w:t>
            </w:r>
          </w:p>
        </w:tc>
        <w:tc>
          <w:tcPr>
            <w:tcW w:w="6662" w:type="dxa"/>
            <w:tcBorders>
              <w:top w:val="single" w:sz="4" w:space="0" w:color="auto"/>
            </w:tcBorders>
          </w:tcPr>
          <w:p w14:paraId="7C6FFCB7" w14:textId="77777777" w:rsidR="00DA1CEE" w:rsidRPr="001A1070" w:rsidRDefault="00525F3E" w:rsidP="00101EA0">
            <w:pPr>
              <w:jc w:val="both"/>
              <w:rPr>
                <w:bCs/>
                <w:u w:val="single"/>
              </w:rPr>
            </w:pPr>
            <w:r w:rsidRPr="001A1070">
              <w:rPr>
                <w:bCs/>
                <w:u w:val="single"/>
              </w:rPr>
              <w:t xml:space="preserve">Mitte arvestatud. </w:t>
            </w:r>
          </w:p>
          <w:p w14:paraId="228FC0FC" w14:textId="696FADEB" w:rsidR="0005648E" w:rsidRPr="00FD19AE" w:rsidRDefault="00525F3E" w:rsidP="00101EA0">
            <w:pPr>
              <w:jc w:val="both"/>
              <w:rPr>
                <w:bCs/>
              </w:rPr>
            </w:pPr>
            <w:r w:rsidRPr="00FD19AE">
              <w:rPr>
                <w:bCs/>
              </w:rPr>
              <w:t xml:space="preserve">Statistika kohaselt selliste ettevõtete tehinguid on vähe ja sellest tulenevalt on eeldatav mõju väike. </w:t>
            </w:r>
            <w:r w:rsidR="00500A41" w:rsidRPr="00FD19AE">
              <w:rPr>
                <w:bCs/>
              </w:rPr>
              <w:t xml:space="preserve">Kui kehtiva seaduse kohaselt ei saa USA kodanik ka käesoleval ajal piirangualal kinnisasja omandada, siis ei peaks tal olema õigustatud ootust omandada kinnisasi läbi juriidilise isiku. </w:t>
            </w:r>
          </w:p>
          <w:p w14:paraId="4E15F633" w14:textId="7990B6CA" w:rsidR="00B80CAA" w:rsidRDefault="000C64B2" w:rsidP="00101EA0">
            <w:pPr>
              <w:jc w:val="both"/>
              <w:rPr>
                <w:bCs/>
              </w:rPr>
            </w:pPr>
            <w:r w:rsidRPr="00FD19AE">
              <w:rPr>
                <w:bCs/>
              </w:rPr>
              <w:t>Lisaks märgime, et kavandatav l</w:t>
            </w:r>
            <w:r w:rsidR="00FA17CC">
              <w:rPr>
                <w:bCs/>
              </w:rPr>
              <w:t>õi</w:t>
            </w:r>
            <w:r w:rsidRPr="00FD19AE">
              <w:rPr>
                <w:bCs/>
              </w:rPr>
              <w:t>g</w:t>
            </w:r>
            <w:r w:rsidR="00FA17CC">
              <w:rPr>
                <w:bCs/>
              </w:rPr>
              <w:t>e</w:t>
            </w:r>
            <w:r w:rsidRPr="00FD19AE">
              <w:rPr>
                <w:bCs/>
              </w:rPr>
              <w:t xml:space="preserve"> </w:t>
            </w:r>
            <w:r w:rsidR="00B80CAA">
              <w:rPr>
                <w:bCs/>
              </w:rPr>
              <w:t>4</w:t>
            </w:r>
            <w:r w:rsidRPr="00FD19AE">
              <w:rPr>
                <w:bCs/>
              </w:rPr>
              <w:t xml:space="preserve"> sätestab erandi: </w:t>
            </w:r>
            <w:r w:rsidR="00034A4F">
              <w:rPr>
                <w:bCs/>
              </w:rPr>
              <w:t>„</w:t>
            </w:r>
            <w:r w:rsidR="00B80CAA" w:rsidRPr="00B80CAA">
              <w:rPr>
                <w:bCs/>
              </w:rPr>
              <w:t>Vabariigi Valitsus võib anda käesoleva paragrahvi lõikes 1 või 2 nimetatud isikule korraldusega loa kinnisasja omandamiseks lõikes 1 nimetatud maa-alal põhjendatud juhtudel ning tingimusel, et see ei kahjusta piirangu eesmärki</w:t>
            </w:r>
            <w:r w:rsidR="00B80CAA">
              <w:rPr>
                <w:bCs/>
              </w:rPr>
              <w:t>.</w:t>
            </w:r>
            <w:r w:rsidR="00034A4F">
              <w:rPr>
                <w:bCs/>
              </w:rPr>
              <w:t>“.</w:t>
            </w:r>
          </w:p>
          <w:p w14:paraId="1A0C36F4" w14:textId="6AAB70DE" w:rsidR="000C64B2" w:rsidRPr="00FD19AE" w:rsidRDefault="000C64B2" w:rsidP="00101EA0">
            <w:pPr>
              <w:jc w:val="both"/>
              <w:rPr>
                <w:bCs/>
              </w:rPr>
            </w:pPr>
            <w:r w:rsidRPr="00FD19AE">
              <w:rPr>
                <w:bCs/>
              </w:rPr>
              <w:t xml:space="preserve">Sarnased piirangud piirangualadel on välismaalastele kehtestatud Eestis juba alates 1928. aastast ja sellisena on kehtinud järjepidevalt erinevates seaduse redaktsioonides. </w:t>
            </w:r>
          </w:p>
          <w:p w14:paraId="5E2BC295" w14:textId="390B19C7" w:rsidR="003B0377" w:rsidRPr="00FD19AE" w:rsidRDefault="003B0377" w:rsidP="00101EA0">
            <w:pPr>
              <w:jc w:val="both"/>
              <w:rPr>
                <w:bCs/>
              </w:rPr>
            </w:pPr>
            <w:proofErr w:type="spellStart"/>
            <w:r w:rsidRPr="00FD19AE">
              <w:rPr>
                <w:bCs/>
              </w:rPr>
              <w:t>RahaPTS</w:t>
            </w:r>
            <w:proofErr w:type="spellEnd"/>
            <w:r w:rsidRPr="00FD19AE">
              <w:rPr>
                <w:bCs/>
              </w:rPr>
              <w:t xml:space="preserve"> § 9 kohaselt omab tegelik kasusaaja lõplikku valitsevat mõju ehk ta on </w:t>
            </w:r>
            <w:proofErr w:type="spellStart"/>
            <w:r w:rsidRPr="00FD19AE">
              <w:rPr>
                <w:bCs/>
              </w:rPr>
              <w:t>RahaPTS</w:t>
            </w:r>
            <w:proofErr w:type="spellEnd"/>
            <w:r w:rsidRPr="00FD19AE">
              <w:rPr>
                <w:bCs/>
              </w:rPr>
              <w:t xml:space="preserve"> mõttes kontrolli omav isik. </w:t>
            </w:r>
          </w:p>
        </w:tc>
      </w:tr>
      <w:tr w:rsidR="0005648E" w:rsidRPr="00FD19AE" w14:paraId="290BE3E7" w14:textId="77777777" w:rsidTr="00101EA0">
        <w:tc>
          <w:tcPr>
            <w:tcW w:w="704" w:type="dxa"/>
          </w:tcPr>
          <w:p w14:paraId="2F4D6376" w14:textId="46CA0AD0" w:rsidR="0005648E" w:rsidRPr="00C92D74" w:rsidRDefault="00CA4260" w:rsidP="00101EA0">
            <w:pPr>
              <w:jc w:val="both"/>
              <w:rPr>
                <w:bCs/>
              </w:rPr>
            </w:pPr>
            <w:r>
              <w:rPr>
                <w:bCs/>
              </w:rPr>
              <w:t>2.</w:t>
            </w:r>
            <w:r w:rsidR="00101EA0" w:rsidRPr="00C92D74">
              <w:rPr>
                <w:bCs/>
              </w:rPr>
              <w:t>6</w:t>
            </w:r>
          </w:p>
        </w:tc>
        <w:tc>
          <w:tcPr>
            <w:tcW w:w="6804" w:type="dxa"/>
            <w:tcBorders>
              <w:top w:val="single" w:sz="4" w:space="0" w:color="auto"/>
            </w:tcBorders>
          </w:tcPr>
          <w:p w14:paraId="1995CC00" w14:textId="5F728887" w:rsidR="0005648E" w:rsidRPr="00EF3A0C" w:rsidRDefault="0005648E" w:rsidP="00101EA0">
            <w:pPr>
              <w:jc w:val="both"/>
              <w:outlineLvl w:val="1"/>
              <w:rPr>
                <w:rFonts w:eastAsia="Times New Roman"/>
                <w:kern w:val="0"/>
                <w:lang w:eastAsia="et-EE"/>
                <w14:ligatures w14:val="none"/>
              </w:rPr>
            </w:pPr>
            <w:r w:rsidRPr="00EF3A0C">
              <w:rPr>
                <w:rFonts w:eastAsia="Times New Roman"/>
                <w:kern w:val="0"/>
                <w:lang w:eastAsia="et-EE"/>
                <w14:ligatures w14:val="none"/>
              </w:rPr>
              <w:t>§ 10¹ l</w:t>
            </w:r>
            <w:r w:rsidR="00FA17CC">
              <w:rPr>
                <w:rFonts w:eastAsia="Times New Roman"/>
                <w:kern w:val="0"/>
                <w:lang w:eastAsia="et-EE"/>
                <w14:ligatures w14:val="none"/>
              </w:rPr>
              <w:t>õige</w:t>
            </w:r>
            <w:r w:rsidRPr="00EF3A0C">
              <w:rPr>
                <w:rFonts w:eastAsia="Times New Roman"/>
                <w:kern w:val="0"/>
                <w:lang w:eastAsia="et-EE"/>
                <w14:ligatures w14:val="none"/>
              </w:rPr>
              <w:t xml:space="preserve"> 3 </w:t>
            </w:r>
            <w:r w:rsidR="00C41A65">
              <w:rPr>
                <w:rFonts w:eastAsia="Times New Roman"/>
                <w:kern w:val="0"/>
                <w:lang w:eastAsia="et-EE"/>
                <w14:ligatures w14:val="none"/>
              </w:rPr>
              <w:t>(eelnõu kohaselt KAOKS § 10</w:t>
            </w:r>
            <w:r w:rsidR="00C41A65" w:rsidRPr="00EF3A0C">
              <w:rPr>
                <w:rFonts w:eastAsia="Times New Roman"/>
                <w:kern w:val="0"/>
                <w:vertAlign w:val="superscript"/>
                <w:lang w:eastAsia="et-EE"/>
                <w14:ligatures w14:val="none"/>
              </w:rPr>
              <w:t>1</w:t>
            </w:r>
            <w:r w:rsidR="00C41A65">
              <w:rPr>
                <w:rFonts w:eastAsia="Times New Roman"/>
                <w:kern w:val="0"/>
                <w:lang w:eastAsia="et-EE"/>
                <w14:ligatures w14:val="none"/>
              </w:rPr>
              <w:t xml:space="preserve"> lõige 2) </w:t>
            </w:r>
            <w:r w:rsidRPr="00EF3A0C">
              <w:rPr>
                <w:rFonts w:eastAsia="Times New Roman"/>
                <w:kern w:val="0"/>
                <w:lang w:eastAsia="et-EE"/>
                <w14:ligatures w14:val="none"/>
              </w:rPr>
              <w:t>sõnastus vajab täpsustamist</w:t>
            </w:r>
            <w:r w:rsidR="00494590">
              <w:rPr>
                <w:rFonts w:eastAsia="Times New Roman"/>
                <w:kern w:val="0"/>
                <w:lang w:eastAsia="et-EE"/>
                <w14:ligatures w14:val="none"/>
              </w:rPr>
              <w:t>:</w:t>
            </w:r>
          </w:p>
          <w:p w14:paraId="22BFDB77" w14:textId="47EC88A5"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lastRenderedPageBreak/>
              <w:t xml:space="preserve">Planeeritav § 10¹ </w:t>
            </w:r>
            <w:r w:rsidR="00FA17CC" w:rsidRPr="00FD19AE">
              <w:rPr>
                <w:rFonts w:eastAsia="Times New Roman"/>
                <w:kern w:val="0"/>
                <w:lang w:eastAsia="et-EE"/>
                <w14:ligatures w14:val="none"/>
              </w:rPr>
              <w:t>l</w:t>
            </w:r>
            <w:r w:rsidR="00FA17CC">
              <w:rPr>
                <w:rFonts w:eastAsia="Times New Roman"/>
                <w:kern w:val="0"/>
                <w:lang w:eastAsia="et-EE"/>
                <w14:ligatures w14:val="none"/>
              </w:rPr>
              <w:t>õige</w:t>
            </w:r>
            <w:r w:rsidR="00FA17CC" w:rsidRPr="00FD19AE">
              <w:rPr>
                <w:rFonts w:eastAsia="Times New Roman"/>
                <w:kern w:val="0"/>
                <w:lang w:eastAsia="et-EE"/>
                <w14:ligatures w14:val="none"/>
              </w:rPr>
              <w:t xml:space="preserve"> </w:t>
            </w:r>
            <w:r w:rsidRPr="00FD19AE">
              <w:rPr>
                <w:rFonts w:eastAsia="Times New Roman"/>
                <w:kern w:val="0"/>
                <w:lang w:eastAsia="et-EE"/>
                <w14:ligatures w14:val="none"/>
              </w:rPr>
              <w:t>3 sätestab „Käesoleva paragrahvi lõikes 1 või 2 nimetatud keeldu kohaldatakse ka mitut kodakondsust omavale füüsilisele isikule, kes ei ole Euroopa Liidu liikmesriigi kodanik.“</w:t>
            </w:r>
          </w:p>
          <w:p w14:paraId="46ED72BE" w14:textId="7A8B2B7B"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Sätte grammatiline tõlgendus viib tulemuseni, kus nt USA ja Lõuna-Aafrika Vabariigi topeltkodakondsusega isik ei võiks Eestis (ka piirangualast väljaspool) kinnisasja omandada. Tegelikult on selle sätte mõte ilmselt reguleerida olukorda, kus üks neist kodakondsustest on julgeolekuohtu kujutava riigi kodakondsus. Või ongi taotluslik, et §-s 10 ei ole mitme kodakondsusega isiku küsimust reguleeritud ja eesmärk on, et sellised isikud ei saaks üle Eesti kinnisasja omandada?</w:t>
            </w:r>
          </w:p>
        </w:tc>
        <w:tc>
          <w:tcPr>
            <w:tcW w:w="6662" w:type="dxa"/>
            <w:tcBorders>
              <w:top w:val="single" w:sz="4" w:space="0" w:color="auto"/>
            </w:tcBorders>
          </w:tcPr>
          <w:p w14:paraId="300F763D" w14:textId="77777777" w:rsidR="001A1070" w:rsidRPr="001A1070" w:rsidRDefault="00454AF5" w:rsidP="00101EA0">
            <w:pPr>
              <w:jc w:val="both"/>
              <w:rPr>
                <w:bCs/>
                <w:u w:val="single"/>
              </w:rPr>
            </w:pPr>
            <w:r w:rsidRPr="001A1070">
              <w:rPr>
                <w:bCs/>
                <w:u w:val="single"/>
              </w:rPr>
              <w:lastRenderedPageBreak/>
              <w:t xml:space="preserve">Arvestatud. </w:t>
            </w:r>
          </w:p>
          <w:p w14:paraId="3D7B2AEA" w14:textId="19C5E276" w:rsidR="00C41A65" w:rsidRPr="00A96250" w:rsidRDefault="001A1070" w:rsidP="00C41A65">
            <w:pPr>
              <w:jc w:val="both"/>
              <w:rPr>
                <w:rFonts w:eastAsia="Calibri"/>
              </w:rPr>
            </w:pPr>
            <w:r>
              <w:rPr>
                <w:bCs/>
              </w:rPr>
              <w:t>Eelnõud muudetud, s</w:t>
            </w:r>
            <w:r w:rsidR="00454AF5" w:rsidRPr="00FD19AE">
              <w:rPr>
                <w:bCs/>
              </w:rPr>
              <w:t xml:space="preserve">õnastust täiendatud. </w:t>
            </w:r>
            <w:r w:rsidR="00034A4F">
              <w:rPr>
                <w:bCs/>
              </w:rPr>
              <w:t xml:space="preserve">Eelnõu kohaselt sõnastatakse KAOKS </w:t>
            </w:r>
            <w:r w:rsidR="00C41A65">
              <w:rPr>
                <w:rFonts w:eastAsia="Times New Roman"/>
                <w:kern w:val="0"/>
                <w:lang w:eastAsia="et-EE"/>
                <w14:ligatures w14:val="none"/>
              </w:rPr>
              <w:t>§ 10</w:t>
            </w:r>
            <w:r w:rsidR="00C41A65" w:rsidRPr="002A5139">
              <w:rPr>
                <w:rFonts w:eastAsia="Times New Roman"/>
                <w:kern w:val="0"/>
                <w:vertAlign w:val="superscript"/>
                <w:lang w:eastAsia="et-EE"/>
                <w14:ligatures w14:val="none"/>
              </w:rPr>
              <w:t>1</w:t>
            </w:r>
            <w:r w:rsidR="00C41A65">
              <w:rPr>
                <w:rFonts w:eastAsia="Times New Roman"/>
                <w:kern w:val="0"/>
                <w:lang w:eastAsia="et-EE"/>
                <w14:ligatures w14:val="none"/>
              </w:rPr>
              <w:t xml:space="preserve"> lõige 2 järgmiselt: „</w:t>
            </w:r>
            <w:r w:rsidR="00C41A65" w:rsidRPr="00A96250">
              <w:rPr>
                <w:rFonts w:eastAsia="Calibri"/>
              </w:rPr>
              <w:t xml:space="preserve">Käesoleva paragrahvi lõikes 1 sätestatud keeldu kohaldatakse ka mitme </w:t>
            </w:r>
            <w:r w:rsidR="00C41A65" w:rsidRPr="00A96250">
              <w:rPr>
                <w:rFonts w:eastAsia="Calibri"/>
              </w:rPr>
              <w:lastRenderedPageBreak/>
              <w:t>kodakondsusega füüsilisele isikule, kui vähemalt üks tema kodakondsusest on käesoleva paragrahvi lõikes 1 nimetatud riigi kodakondsus ning tal ei ole Euroopa Majanduspiirkonna liikmesriigi või Suurbritannia ja Põhja-Iiri Ühendkuningriigi kodakondsust.</w:t>
            </w:r>
            <w:r w:rsidR="00C41A65">
              <w:rPr>
                <w:rFonts w:eastAsia="Calibri"/>
              </w:rPr>
              <w:t>“.</w:t>
            </w:r>
          </w:p>
          <w:p w14:paraId="16658312" w14:textId="392A3504" w:rsidR="0005648E" w:rsidRPr="00FD19AE" w:rsidRDefault="0005648E" w:rsidP="00101EA0">
            <w:pPr>
              <w:jc w:val="both"/>
              <w:rPr>
                <w:bCs/>
              </w:rPr>
            </w:pPr>
          </w:p>
          <w:p w14:paraId="7DA18F35" w14:textId="77777777" w:rsidR="00454AF5" w:rsidRPr="00FD19AE" w:rsidRDefault="00454AF5" w:rsidP="00101EA0">
            <w:pPr>
              <w:jc w:val="both"/>
              <w:rPr>
                <w:bCs/>
              </w:rPr>
            </w:pPr>
          </w:p>
          <w:p w14:paraId="1E57CACD" w14:textId="6F3EEB58" w:rsidR="00454AF5" w:rsidRPr="00FD19AE" w:rsidRDefault="00454AF5" w:rsidP="00101EA0">
            <w:pPr>
              <w:jc w:val="both"/>
              <w:rPr>
                <w:bCs/>
              </w:rPr>
            </w:pPr>
          </w:p>
        </w:tc>
      </w:tr>
      <w:tr w:rsidR="0005648E" w:rsidRPr="00FD19AE" w14:paraId="29E9D9AE" w14:textId="77777777" w:rsidTr="00101EA0">
        <w:tc>
          <w:tcPr>
            <w:tcW w:w="704" w:type="dxa"/>
          </w:tcPr>
          <w:p w14:paraId="78CAB632" w14:textId="344C8994" w:rsidR="0005648E" w:rsidRPr="00C92D74" w:rsidRDefault="00CA4260" w:rsidP="00101EA0">
            <w:pPr>
              <w:jc w:val="both"/>
              <w:rPr>
                <w:bCs/>
              </w:rPr>
            </w:pPr>
            <w:r>
              <w:rPr>
                <w:bCs/>
              </w:rPr>
              <w:lastRenderedPageBreak/>
              <w:t>2</w:t>
            </w:r>
            <w:r w:rsidR="00101EA0" w:rsidRPr="00C92D74">
              <w:rPr>
                <w:bCs/>
              </w:rPr>
              <w:t>.7</w:t>
            </w:r>
          </w:p>
        </w:tc>
        <w:tc>
          <w:tcPr>
            <w:tcW w:w="6804" w:type="dxa"/>
            <w:tcBorders>
              <w:top w:val="single" w:sz="4" w:space="0" w:color="auto"/>
            </w:tcBorders>
          </w:tcPr>
          <w:p w14:paraId="3A6B190D" w14:textId="1C1AD9CA" w:rsidR="0005648E" w:rsidRPr="00EF3A0C" w:rsidRDefault="0005648E" w:rsidP="00101EA0">
            <w:pPr>
              <w:jc w:val="both"/>
              <w:outlineLvl w:val="1"/>
              <w:rPr>
                <w:rFonts w:eastAsia="Times New Roman"/>
                <w:kern w:val="0"/>
                <w:lang w:eastAsia="et-EE"/>
                <w14:ligatures w14:val="none"/>
              </w:rPr>
            </w:pPr>
            <w:r w:rsidRPr="00EF3A0C">
              <w:rPr>
                <w:rFonts w:eastAsia="Times New Roman"/>
                <w:kern w:val="0"/>
                <w:lang w:eastAsia="et-EE"/>
                <w14:ligatures w14:val="none"/>
              </w:rPr>
              <w:t>Tegeliku kasusaaja andmete säilitamise säte on grammatiliselt mitmeti tõlgendatav</w:t>
            </w:r>
            <w:r w:rsidR="00494590">
              <w:rPr>
                <w:rFonts w:eastAsia="Times New Roman"/>
                <w:kern w:val="0"/>
                <w:lang w:eastAsia="et-EE"/>
                <w14:ligatures w14:val="none"/>
              </w:rPr>
              <w:t>:</w:t>
            </w:r>
          </w:p>
          <w:p w14:paraId="39ACE622" w14:textId="58430778"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 xml:space="preserve">Eelnõu § 3 punktiga 1 kavandatav </w:t>
            </w:r>
            <w:proofErr w:type="spellStart"/>
            <w:r w:rsidRPr="00FD19AE">
              <w:rPr>
                <w:rFonts w:eastAsia="Times New Roman"/>
                <w:kern w:val="0"/>
                <w:lang w:eastAsia="et-EE"/>
                <w14:ligatures w14:val="none"/>
              </w:rPr>
              <w:t>RahaPTS</w:t>
            </w:r>
            <w:proofErr w:type="spellEnd"/>
            <w:r w:rsidRPr="00FD19AE">
              <w:rPr>
                <w:rFonts w:eastAsia="Times New Roman"/>
                <w:kern w:val="0"/>
                <w:lang w:eastAsia="et-EE"/>
                <w14:ligatures w14:val="none"/>
              </w:rPr>
              <w:t xml:space="preserve"> § 20 </w:t>
            </w:r>
            <w:r w:rsidR="00FA17CC" w:rsidRPr="00FD19AE">
              <w:rPr>
                <w:rFonts w:eastAsia="Times New Roman"/>
                <w:kern w:val="0"/>
                <w:lang w:eastAsia="et-EE"/>
                <w14:ligatures w14:val="none"/>
              </w:rPr>
              <w:t>l</w:t>
            </w:r>
            <w:r w:rsidR="00FA17CC">
              <w:rPr>
                <w:rFonts w:eastAsia="Times New Roman"/>
                <w:kern w:val="0"/>
                <w:lang w:eastAsia="et-EE"/>
                <w14:ligatures w14:val="none"/>
              </w:rPr>
              <w:t>õike</w:t>
            </w:r>
            <w:r w:rsidR="00FA17CC" w:rsidRPr="00FD19AE">
              <w:rPr>
                <w:rFonts w:eastAsia="Times New Roman"/>
                <w:kern w:val="0"/>
                <w:lang w:eastAsia="et-EE"/>
                <w14:ligatures w14:val="none"/>
              </w:rPr>
              <w:t xml:space="preserve"> </w:t>
            </w:r>
            <w:r w:rsidRPr="00FD19AE">
              <w:rPr>
                <w:rFonts w:eastAsia="Times New Roman"/>
                <w:kern w:val="0"/>
                <w:lang w:eastAsia="et-EE"/>
                <w14:ligatures w14:val="none"/>
              </w:rPr>
              <w:t>2⁶ sõnastus „nimi, isikukood ja selle riik, selle puudumise korral sünniaeg ja sünnikoht, kodakondsus või kodakondsused …“ on grammatiliselt mitmeti tõlgendatav.</w:t>
            </w:r>
          </w:p>
          <w:p w14:paraId="39057B19" w14:textId="77777777"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 xml:space="preserve">Praegusest sõnastusest võib jääda mulje, et kodakondsust tuleb tuvastada ainult juhul, kui puudub isikukood. </w:t>
            </w:r>
          </w:p>
          <w:p w14:paraId="13BCA68F" w14:textId="3C850A20" w:rsidR="0005648E" w:rsidRPr="00FD19AE" w:rsidRDefault="0005648E" w:rsidP="00101EA0">
            <w:pPr>
              <w:jc w:val="both"/>
              <w:rPr>
                <w:rFonts w:eastAsia="Times New Roman"/>
                <w:kern w:val="0"/>
                <w:lang w:eastAsia="et-EE"/>
                <w14:ligatures w14:val="none"/>
              </w:rPr>
            </w:pPr>
            <w:r w:rsidRPr="00FD19AE">
              <w:rPr>
                <w:rFonts w:eastAsia="Times New Roman"/>
                <w:kern w:val="0"/>
                <w:lang w:eastAsia="et-EE"/>
                <w14:ligatures w14:val="none"/>
              </w:rPr>
              <w:t>Kui eesmärk on, et kodakondsus tuleb tuvastada alati, sõltumata isikukoodi olemasolust, tuleks säte sõnastada üheselt mõistetavalt.</w:t>
            </w:r>
          </w:p>
        </w:tc>
        <w:tc>
          <w:tcPr>
            <w:tcW w:w="6662" w:type="dxa"/>
            <w:tcBorders>
              <w:top w:val="single" w:sz="4" w:space="0" w:color="auto"/>
            </w:tcBorders>
          </w:tcPr>
          <w:p w14:paraId="013DAAEC" w14:textId="77777777" w:rsidR="001A1070" w:rsidRPr="001A1070" w:rsidRDefault="00454AF5" w:rsidP="00101EA0">
            <w:pPr>
              <w:jc w:val="both"/>
              <w:rPr>
                <w:bCs/>
                <w:u w:val="single"/>
              </w:rPr>
            </w:pPr>
            <w:r w:rsidRPr="001A1070">
              <w:rPr>
                <w:bCs/>
                <w:u w:val="single"/>
              </w:rPr>
              <w:t xml:space="preserve">Arvestatud. </w:t>
            </w:r>
          </w:p>
          <w:p w14:paraId="43AA4305" w14:textId="433BAB51" w:rsidR="0005648E" w:rsidRPr="00FD19AE" w:rsidRDefault="001A1070" w:rsidP="00101EA0">
            <w:pPr>
              <w:jc w:val="both"/>
              <w:rPr>
                <w:bCs/>
              </w:rPr>
            </w:pPr>
            <w:r>
              <w:rPr>
                <w:bCs/>
              </w:rPr>
              <w:t xml:space="preserve">Eelnõud </w:t>
            </w:r>
            <w:r w:rsidR="00454AF5" w:rsidRPr="00FD19AE">
              <w:rPr>
                <w:bCs/>
              </w:rPr>
              <w:t>muudetud</w:t>
            </w:r>
            <w:r>
              <w:rPr>
                <w:bCs/>
              </w:rPr>
              <w:t xml:space="preserve">, sõnastust </w:t>
            </w:r>
            <w:r w:rsidR="00454AF5" w:rsidRPr="00FD19AE">
              <w:rPr>
                <w:bCs/>
              </w:rPr>
              <w:t xml:space="preserve">täiendatud. Loetelu on toodud punktidega ja on paremini arusaadav. </w:t>
            </w:r>
          </w:p>
          <w:p w14:paraId="45DDE419" w14:textId="77777777" w:rsidR="00454AF5" w:rsidRPr="00FD19AE" w:rsidRDefault="00454AF5" w:rsidP="00101EA0">
            <w:pPr>
              <w:jc w:val="both"/>
              <w:rPr>
                <w:bCs/>
              </w:rPr>
            </w:pPr>
          </w:p>
          <w:p w14:paraId="474E824F" w14:textId="5BD77A57" w:rsidR="00454AF5" w:rsidRPr="00FD19AE" w:rsidRDefault="00454AF5" w:rsidP="00101EA0">
            <w:pPr>
              <w:jc w:val="both"/>
              <w:rPr>
                <w:bCs/>
              </w:rPr>
            </w:pPr>
          </w:p>
        </w:tc>
      </w:tr>
      <w:tr w:rsidR="0005648E" w:rsidRPr="00FD19AE" w14:paraId="288D0557" w14:textId="77777777" w:rsidTr="00101EA0">
        <w:tc>
          <w:tcPr>
            <w:tcW w:w="704" w:type="dxa"/>
          </w:tcPr>
          <w:p w14:paraId="0B50BEE8" w14:textId="6F278A61" w:rsidR="0005648E" w:rsidRPr="00C92D74" w:rsidRDefault="00CA4260" w:rsidP="00101EA0">
            <w:pPr>
              <w:jc w:val="both"/>
              <w:rPr>
                <w:bCs/>
              </w:rPr>
            </w:pPr>
            <w:r>
              <w:rPr>
                <w:bCs/>
              </w:rPr>
              <w:t>2</w:t>
            </w:r>
            <w:r w:rsidR="00101EA0" w:rsidRPr="00C92D74">
              <w:rPr>
                <w:bCs/>
              </w:rPr>
              <w:t>.8</w:t>
            </w:r>
          </w:p>
        </w:tc>
        <w:tc>
          <w:tcPr>
            <w:tcW w:w="6804" w:type="dxa"/>
            <w:tcBorders>
              <w:top w:val="single" w:sz="4" w:space="0" w:color="auto"/>
            </w:tcBorders>
          </w:tcPr>
          <w:p w14:paraId="6C8E02FB" w14:textId="7D489C46" w:rsidR="0005648E" w:rsidRPr="00494590" w:rsidRDefault="0005648E" w:rsidP="00101EA0">
            <w:pPr>
              <w:jc w:val="both"/>
              <w:outlineLvl w:val="1"/>
              <w:rPr>
                <w:rFonts w:eastAsia="Times New Roman"/>
                <w:kern w:val="0"/>
                <w:lang w:eastAsia="et-EE"/>
                <w14:ligatures w14:val="none"/>
              </w:rPr>
            </w:pPr>
            <w:r w:rsidRPr="00EF3A0C">
              <w:rPr>
                <w:rFonts w:eastAsia="Calibri"/>
              </w:rPr>
              <w:t>Seletuskirja osa tegeliku kasusaaja tuvastamise kohta</w:t>
            </w:r>
            <w:r w:rsidR="00494590">
              <w:rPr>
                <w:rFonts w:eastAsia="Calibri"/>
              </w:rPr>
              <w:t>:</w:t>
            </w:r>
          </w:p>
          <w:p w14:paraId="1F1546E7" w14:textId="480DAE84" w:rsidR="0005648E" w:rsidRPr="00FD19AE" w:rsidRDefault="0005648E" w:rsidP="00101EA0">
            <w:pPr>
              <w:spacing w:line="259" w:lineRule="auto"/>
              <w:jc w:val="both"/>
              <w:rPr>
                <w:rFonts w:eastAsia="Calibri"/>
              </w:rPr>
            </w:pPr>
            <w:r w:rsidRPr="00FD19AE">
              <w:rPr>
                <w:rFonts w:eastAsia="Calibri"/>
              </w:rPr>
              <w:t>Seletuskirjas (lk 20</w:t>
            </w:r>
            <w:r w:rsidR="00F47DE7">
              <w:rPr>
                <w:rFonts w:eastAsia="Calibri"/>
              </w:rPr>
              <w:t xml:space="preserve">, </w:t>
            </w:r>
            <w:r w:rsidR="00F47DE7">
              <w:rPr>
                <w:bCs/>
              </w:rPr>
              <w:t>Vabariigi Valitsusele esitatud eelnõu seletuskirja lk 23</w:t>
            </w:r>
            <w:r w:rsidRPr="00FD19AE">
              <w:rPr>
                <w:rFonts w:eastAsia="Calibri"/>
              </w:rPr>
              <w:t>) on märgitud:</w:t>
            </w:r>
          </w:p>
          <w:p w14:paraId="0E4DDF2B" w14:textId="1A723A73" w:rsidR="0005648E" w:rsidRPr="00FD19AE" w:rsidRDefault="0005648E" w:rsidP="00101EA0">
            <w:pPr>
              <w:spacing w:line="259" w:lineRule="auto"/>
              <w:jc w:val="both"/>
              <w:rPr>
                <w:rFonts w:eastAsia="Calibri"/>
              </w:rPr>
            </w:pPr>
            <w:r w:rsidRPr="00FD19AE">
              <w:rPr>
                <w:rFonts w:eastAsia="Calibri"/>
              </w:rPr>
              <w:t>„Samuti kasutatakse KAOKS puhul tegeliku kasusaaja terminit, kuivõrd selle tuvastamise ja määramise praktika on notaritel juba aastast 2020 vastavalt notariaadiseadusele (§ 29 l</w:t>
            </w:r>
            <w:r w:rsidR="00FA17CC">
              <w:rPr>
                <w:rFonts w:eastAsia="Calibri"/>
              </w:rPr>
              <w:t>õi</w:t>
            </w:r>
            <w:r w:rsidRPr="00FD19AE">
              <w:rPr>
                <w:rFonts w:eastAsia="Calibri"/>
              </w:rPr>
              <w:t>g</w:t>
            </w:r>
            <w:r w:rsidR="00FA17CC">
              <w:rPr>
                <w:rFonts w:eastAsia="Calibri"/>
              </w:rPr>
              <w:t>e</w:t>
            </w:r>
            <w:r w:rsidRPr="00FD19AE">
              <w:rPr>
                <w:rFonts w:eastAsia="Calibri"/>
              </w:rPr>
              <w:t xml:space="preserve"> 3 p</w:t>
            </w:r>
            <w:r w:rsidR="00FA17CC">
              <w:rPr>
                <w:rFonts w:eastAsia="Calibri"/>
              </w:rPr>
              <w:t>unkt</w:t>
            </w:r>
            <w:r w:rsidRPr="00FD19AE">
              <w:rPr>
                <w:rFonts w:eastAsia="Calibri"/>
              </w:rPr>
              <w:t xml:space="preserve"> 13).“</w:t>
            </w:r>
          </w:p>
          <w:p w14:paraId="5C772087" w14:textId="77777777" w:rsidR="0005648E" w:rsidRPr="00FD19AE" w:rsidRDefault="0005648E" w:rsidP="00101EA0">
            <w:pPr>
              <w:spacing w:line="259" w:lineRule="auto"/>
              <w:jc w:val="both"/>
              <w:rPr>
                <w:rFonts w:eastAsia="Calibri"/>
              </w:rPr>
            </w:pPr>
            <w:r w:rsidRPr="00FD19AE">
              <w:rPr>
                <w:rFonts w:eastAsia="Calibri"/>
              </w:rPr>
              <w:t>Teeme ettepaneku nimetatud põhjenduses välja jätta viide notariaadiseadusele.</w:t>
            </w:r>
          </w:p>
          <w:p w14:paraId="6127C5D0" w14:textId="77777777" w:rsidR="0005648E" w:rsidRPr="00FD19AE" w:rsidRDefault="0005648E" w:rsidP="00101EA0">
            <w:pPr>
              <w:spacing w:line="259" w:lineRule="auto"/>
              <w:jc w:val="both"/>
              <w:rPr>
                <w:rFonts w:eastAsia="Calibri"/>
              </w:rPr>
            </w:pPr>
            <w:r w:rsidRPr="00FD19AE">
              <w:rPr>
                <w:rFonts w:eastAsia="Calibri"/>
              </w:rPr>
              <w:lastRenderedPageBreak/>
              <w:t xml:space="preserve">Notariaadiseaduse nimetatud sättes toodud ametiteenusel tegeliku kasusaaja andmete edastamiseks ei ole sisulist puutumust tegeliku kasusaaja tuvastamisega käesoleva eelnõu kontekstis. </w:t>
            </w:r>
          </w:p>
          <w:p w14:paraId="33B883D4" w14:textId="2106A23E" w:rsidR="0005648E" w:rsidRPr="00FD19AE" w:rsidRDefault="0005648E" w:rsidP="00101EA0">
            <w:pPr>
              <w:spacing w:line="259" w:lineRule="auto"/>
              <w:jc w:val="both"/>
              <w:rPr>
                <w:rFonts w:eastAsia="Calibri"/>
              </w:rPr>
            </w:pPr>
            <w:r w:rsidRPr="00FD19AE">
              <w:rPr>
                <w:rFonts w:eastAsia="Calibri"/>
              </w:rPr>
              <w:t>Samuti jäävad arusaamatuks seletuskirja lk-l 20 toodud Saksamaa sõelumismehhanismide näited, kuna ei haaku tegeliku kasusaaja tuvastamise praktikaga Eestis.</w:t>
            </w:r>
          </w:p>
        </w:tc>
        <w:tc>
          <w:tcPr>
            <w:tcW w:w="6662" w:type="dxa"/>
            <w:tcBorders>
              <w:top w:val="single" w:sz="4" w:space="0" w:color="auto"/>
            </w:tcBorders>
          </w:tcPr>
          <w:p w14:paraId="139ABC58" w14:textId="77777777" w:rsidR="001A1070" w:rsidRPr="001A1070" w:rsidRDefault="00454AF5" w:rsidP="00101EA0">
            <w:pPr>
              <w:jc w:val="both"/>
              <w:rPr>
                <w:bCs/>
                <w:u w:val="single"/>
              </w:rPr>
            </w:pPr>
            <w:r w:rsidRPr="001A1070">
              <w:rPr>
                <w:bCs/>
                <w:u w:val="single"/>
              </w:rPr>
              <w:lastRenderedPageBreak/>
              <w:t xml:space="preserve">Arvestatud. </w:t>
            </w:r>
          </w:p>
          <w:p w14:paraId="1CA63BC2" w14:textId="6328142C" w:rsidR="0005648E" w:rsidRPr="00FD19AE" w:rsidRDefault="00DA1CEE" w:rsidP="00101EA0">
            <w:pPr>
              <w:jc w:val="both"/>
              <w:rPr>
                <w:bCs/>
              </w:rPr>
            </w:pPr>
            <w:r w:rsidRPr="00FD19AE">
              <w:rPr>
                <w:bCs/>
              </w:rPr>
              <w:t>Täiendatud seletuskirja.</w:t>
            </w:r>
          </w:p>
          <w:p w14:paraId="69CEE4E3" w14:textId="77777777" w:rsidR="00454AF5" w:rsidRPr="00FD19AE" w:rsidRDefault="00454AF5" w:rsidP="00101EA0">
            <w:pPr>
              <w:jc w:val="both"/>
              <w:rPr>
                <w:bCs/>
              </w:rPr>
            </w:pPr>
          </w:p>
          <w:p w14:paraId="48A622AC" w14:textId="747D40AE" w:rsidR="00454AF5" w:rsidRPr="00FD19AE" w:rsidRDefault="00454AF5" w:rsidP="00101EA0">
            <w:pPr>
              <w:jc w:val="both"/>
              <w:rPr>
                <w:bCs/>
                <w:u w:val="single"/>
              </w:rPr>
            </w:pPr>
          </w:p>
        </w:tc>
      </w:tr>
      <w:tr w:rsidR="0005648E" w:rsidRPr="00FD19AE" w14:paraId="7E5FBCC6" w14:textId="77777777" w:rsidTr="00101EA0">
        <w:tc>
          <w:tcPr>
            <w:tcW w:w="704" w:type="dxa"/>
          </w:tcPr>
          <w:p w14:paraId="4512A0D0" w14:textId="74DDFCC3" w:rsidR="0005648E" w:rsidRPr="00C92D74" w:rsidRDefault="00CA4260" w:rsidP="00101EA0">
            <w:pPr>
              <w:jc w:val="both"/>
              <w:rPr>
                <w:bCs/>
              </w:rPr>
            </w:pPr>
            <w:r>
              <w:rPr>
                <w:bCs/>
              </w:rPr>
              <w:t>2</w:t>
            </w:r>
            <w:r w:rsidR="00101EA0" w:rsidRPr="00C92D74">
              <w:rPr>
                <w:bCs/>
              </w:rPr>
              <w:t>.9</w:t>
            </w:r>
          </w:p>
        </w:tc>
        <w:tc>
          <w:tcPr>
            <w:tcW w:w="6804" w:type="dxa"/>
            <w:tcBorders>
              <w:top w:val="single" w:sz="4" w:space="0" w:color="auto"/>
            </w:tcBorders>
          </w:tcPr>
          <w:p w14:paraId="144EEC7D" w14:textId="1E826528" w:rsidR="0005648E" w:rsidRPr="00EF3A0C" w:rsidRDefault="0005648E" w:rsidP="00101EA0">
            <w:pPr>
              <w:spacing w:line="259" w:lineRule="auto"/>
              <w:jc w:val="both"/>
              <w:rPr>
                <w:rFonts w:eastAsia="Calibri"/>
              </w:rPr>
            </w:pPr>
            <w:r w:rsidRPr="00EF3A0C">
              <w:rPr>
                <w:rFonts w:eastAsia="Calibri"/>
              </w:rPr>
              <w:t xml:space="preserve">§ 11 </w:t>
            </w:r>
            <w:r w:rsidR="00FA17CC">
              <w:rPr>
                <w:rFonts w:eastAsia="Calibri"/>
              </w:rPr>
              <w:t xml:space="preserve">lõige </w:t>
            </w:r>
            <w:r w:rsidRPr="00EF3A0C">
              <w:rPr>
                <w:rFonts w:eastAsia="Calibri"/>
              </w:rPr>
              <w:t>4</w:t>
            </w:r>
            <w:r w:rsidR="00494590">
              <w:rPr>
                <w:rFonts w:eastAsia="Calibri"/>
              </w:rPr>
              <w:t>:</w:t>
            </w:r>
          </w:p>
          <w:p w14:paraId="32D33B12" w14:textId="77777777" w:rsidR="0005648E" w:rsidRPr="00FD19AE" w:rsidRDefault="0005648E" w:rsidP="00101EA0">
            <w:pPr>
              <w:spacing w:line="259" w:lineRule="auto"/>
              <w:jc w:val="both"/>
              <w:rPr>
                <w:rFonts w:eastAsia="Calibri"/>
              </w:rPr>
            </w:pPr>
            <w:r w:rsidRPr="00FD19AE">
              <w:rPr>
                <w:rFonts w:eastAsia="Calibri"/>
              </w:rPr>
              <w:t>KAOKS § 11 täiendatakse lõikega 4 järgmises sõnastuses: „(4) Enne 2027. aasta 1. jaanuari algatatud kinnisasja omandamisega seotud haldusmenetlused, notariaalsed toimingud ning maareformi seaduse alusel läbiviidavad menetlused viiakse lõpule menetluse algatamise ajal kehtinud korra kohaselt.“</w:t>
            </w:r>
          </w:p>
          <w:p w14:paraId="6C8DFC33" w14:textId="77777777" w:rsidR="0005648E" w:rsidRPr="00FD19AE" w:rsidRDefault="0005648E" w:rsidP="00101EA0">
            <w:pPr>
              <w:spacing w:line="259" w:lineRule="auto"/>
              <w:jc w:val="both"/>
              <w:rPr>
                <w:rFonts w:eastAsia="Calibri"/>
              </w:rPr>
            </w:pPr>
            <w:r w:rsidRPr="00FD19AE">
              <w:rPr>
                <w:rFonts w:eastAsia="Calibri"/>
              </w:rPr>
              <w:t xml:space="preserve">Notariaalselt tõestatud kinnistu või selle mõttelise osa omandamise tehingule ei eelne menetlust. Tehing tõestatakse, kui see tõestatakse. Nädal või kuu enne seaduse jõustumist notarile tehingu soovi saatmine, aja broneerimine, vms ei muuda tehingu aega. Kui tehingu tõestamise hetkel on see </w:t>
            </w:r>
            <w:proofErr w:type="spellStart"/>
            <w:r w:rsidRPr="00FD19AE">
              <w:rPr>
                <w:rFonts w:eastAsia="Calibri"/>
              </w:rPr>
              <w:t>KAOKS-i</w:t>
            </w:r>
            <w:proofErr w:type="spellEnd"/>
            <w:r w:rsidRPr="00FD19AE">
              <w:rPr>
                <w:rFonts w:eastAsia="Calibri"/>
              </w:rPr>
              <w:t xml:space="preserve"> kohaselt keelatud, siis notar tehingut tõestada ei saa. </w:t>
            </w:r>
          </w:p>
          <w:p w14:paraId="76B02CF7" w14:textId="3815E7BC" w:rsidR="0005648E" w:rsidRPr="00FD19AE" w:rsidRDefault="0005648E" w:rsidP="00101EA0">
            <w:pPr>
              <w:spacing w:line="259" w:lineRule="auto"/>
              <w:jc w:val="both"/>
              <w:rPr>
                <w:rFonts w:eastAsia="Calibri"/>
              </w:rPr>
            </w:pPr>
            <w:r w:rsidRPr="00FD19AE">
              <w:rPr>
                <w:rFonts w:eastAsia="Calibri"/>
              </w:rPr>
              <w:t xml:space="preserve">Erandiks on ehk olukord, kus võlaõiguslik müügileping on sõlmitud enne piiranguid ja omandi üleandmine jääb aega, kus piirangud juba kehtivad. Kui mõeldud on sellist olukorda, siis peaks sõnastust täpsustama. </w:t>
            </w:r>
          </w:p>
        </w:tc>
        <w:tc>
          <w:tcPr>
            <w:tcW w:w="6662" w:type="dxa"/>
            <w:tcBorders>
              <w:top w:val="single" w:sz="4" w:space="0" w:color="auto"/>
            </w:tcBorders>
          </w:tcPr>
          <w:p w14:paraId="33E51308" w14:textId="77777777" w:rsidR="001A1070" w:rsidRPr="001A1070" w:rsidRDefault="00820C99" w:rsidP="00101EA0">
            <w:pPr>
              <w:jc w:val="both"/>
              <w:rPr>
                <w:bCs/>
                <w:u w:val="single"/>
              </w:rPr>
            </w:pPr>
            <w:r w:rsidRPr="001A1070">
              <w:rPr>
                <w:bCs/>
                <w:u w:val="single"/>
              </w:rPr>
              <w:t xml:space="preserve">Arvestatud. </w:t>
            </w:r>
          </w:p>
          <w:p w14:paraId="5FBA0507" w14:textId="0DBFE5AC" w:rsidR="00F33CC4" w:rsidRPr="00FD19AE" w:rsidRDefault="0025022C" w:rsidP="00101EA0">
            <w:pPr>
              <w:jc w:val="both"/>
              <w:rPr>
                <w:bCs/>
              </w:rPr>
            </w:pPr>
            <w:r w:rsidRPr="0025022C">
              <w:rPr>
                <w:bCs/>
              </w:rPr>
              <w:t>Eelnõu kohaselt sõnastatakse lõige 4: „Enne 2027. aasta 1. jaanuari sõlmitud asjaõiguslepingu korral omandatakse kinnisasi asjaõiguslepingu sõlmimise ajal kehtinud korra kohaselt.“.</w:t>
            </w:r>
          </w:p>
        </w:tc>
      </w:tr>
    </w:tbl>
    <w:p w14:paraId="1DF6F485" w14:textId="77777777" w:rsidR="008F4574" w:rsidRPr="00FD19AE" w:rsidRDefault="008F4574" w:rsidP="00101EA0">
      <w:pPr>
        <w:jc w:val="both"/>
      </w:pPr>
    </w:p>
    <w:sectPr w:rsidR="008F4574" w:rsidRPr="00FD19AE" w:rsidSect="00FD230B">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5614" w14:textId="77777777" w:rsidR="003728C6" w:rsidRDefault="003728C6" w:rsidP="006B2D65">
      <w:r>
        <w:separator/>
      </w:r>
    </w:p>
  </w:endnote>
  <w:endnote w:type="continuationSeparator" w:id="0">
    <w:p w14:paraId="5B9D5BB6" w14:textId="77777777" w:rsidR="003728C6" w:rsidRDefault="003728C6" w:rsidP="006B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17606"/>
      <w:docPartObj>
        <w:docPartGallery w:val="Page Numbers (Bottom of Page)"/>
        <w:docPartUnique/>
      </w:docPartObj>
    </w:sdtPr>
    <w:sdtEndPr/>
    <w:sdtContent>
      <w:p w14:paraId="02E588CD" w14:textId="4B1D7E39" w:rsidR="006B2D65" w:rsidRDefault="006B2D65">
        <w:pPr>
          <w:pStyle w:val="Jalus"/>
          <w:jc w:val="center"/>
        </w:pPr>
        <w:r>
          <w:fldChar w:fldCharType="begin"/>
        </w:r>
        <w:r>
          <w:instrText>PAGE   \* MERGEFORMAT</w:instrText>
        </w:r>
        <w:r>
          <w:fldChar w:fldCharType="separate"/>
        </w:r>
        <w:r>
          <w:t>2</w:t>
        </w:r>
        <w:r>
          <w:fldChar w:fldCharType="end"/>
        </w:r>
      </w:p>
    </w:sdtContent>
  </w:sdt>
  <w:p w14:paraId="53F56FE9" w14:textId="77777777" w:rsidR="006B2D65" w:rsidRDefault="006B2D6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004D" w14:textId="77777777" w:rsidR="003728C6" w:rsidRDefault="003728C6" w:rsidP="006B2D65">
      <w:r>
        <w:separator/>
      </w:r>
    </w:p>
  </w:footnote>
  <w:footnote w:type="continuationSeparator" w:id="0">
    <w:p w14:paraId="7BDAFDC0" w14:textId="77777777" w:rsidR="003728C6" w:rsidRDefault="003728C6" w:rsidP="006B2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46B"/>
    <w:multiLevelType w:val="hybridMultilevel"/>
    <w:tmpl w:val="64AC93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02D0CE3"/>
    <w:multiLevelType w:val="hybridMultilevel"/>
    <w:tmpl w:val="1A047E40"/>
    <w:lvl w:ilvl="0" w:tplc="EB96824E">
      <w:start w:val="1"/>
      <w:numFmt w:val="decimal"/>
      <w:lvlText w:val="%1."/>
      <w:lvlJc w:val="left"/>
      <w:pPr>
        <w:ind w:left="720" w:hanging="360"/>
      </w:pPr>
      <w:rPr>
        <w:rFonts w:hint="default"/>
        <w:b/>
        <w:b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8853CCF"/>
    <w:multiLevelType w:val="hybridMultilevel"/>
    <w:tmpl w:val="0E2ABDB6"/>
    <w:lvl w:ilvl="0" w:tplc="0425000F">
      <w:start w:val="1"/>
      <w:numFmt w:val="decimal"/>
      <w:lvlText w:val="%1."/>
      <w:lvlJc w:val="left"/>
      <w:pPr>
        <w:ind w:left="1069" w:hanging="360"/>
      </w:pPr>
    </w:lvl>
    <w:lvl w:ilvl="1" w:tplc="04250019">
      <w:start w:val="1"/>
      <w:numFmt w:val="lowerLetter"/>
      <w:lvlText w:val="%2."/>
      <w:lvlJc w:val="left"/>
      <w:pPr>
        <w:ind w:left="1789" w:hanging="360"/>
      </w:pPr>
    </w:lvl>
    <w:lvl w:ilvl="2" w:tplc="0425001B">
      <w:start w:val="1"/>
      <w:numFmt w:val="lowerRoman"/>
      <w:lvlText w:val="%3."/>
      <w:lvlJc w:val="right"/>
      <w:pPr>
        <w:ind w:left="2509" w:hanging="180"/>
      </w:pPr>
    </w:lvl>
    <w:lvl w:ilvl="3" w:tplc="0425000F">
      <w:start w:val="1"/>
      <w:numFmt w:val="decimal"/>
      <w:lvlText w:val="%4."/>
      <w:lvlJc w:val="left"/>
      <w:pPr>
        <w:ind w:left="3229" w:hanging="360"/>
      </w:pPr>
    </w:lvl>
    <w:lvl w:ilvl="4" w:tplc="04250019">
      <w:start w:val="1"/>
      <w:numFmt w:val="lowerLetter"/>
      <w:lvlText w:val="%5."/>
      <w:lvlJc w:val="left"/>
      <w:pPr>
        <w:ind w:left="3949" w:hanging="360"/>
      </w:pPr>
    </w:lvl>
    <w:lvl w:ilvl="5" w:tplc="0425001B">
      <w:start w:val="1"/>
      <w:numFmt w:val="lowerRoman"/>
      <w:lvlText w:val="%6."/>
      <w:lvlJc w:val="right"/>
      <w:pPr>
        <w:ind w:left="4669" w:hanging="180"/>
      </w:pPr>
    </w:lvl>
    <w:lvl w:ilvl="6" w:tplc="0425000F">
      <w:start w:val="1"/>
      <w:numFmt w:val="decimal"/>
      <w:lvlText w:val="%7."/>
      <w:lvlJc w:val="left"/>
      <w:pPr>
        <w:ind w:left="5389" w:hanging="360"/>
      </w:pPr>
    </w:lvl>
    <w:lvl w:ilvl="7" w:tplc="04250019">
      <w:start w:val="1"/>
      <w:numFmt w:val="lowerLetter"/>
      <w:lvlText w:val="%8."/>
      <w:lvlJc w:val="left"/>
      <w:pPr>
        <w:ind w:left="6109" w:hanging="360"/>
      </w:pPr>
    </w:lvl>
    <w:lvl w:ilvl="8" w:tplc="0425001B">
      <w:start w:val="1"/>
      <w:numFmt w:val="lowerRoman"/>
      <w:lvlText w:val="%9."/>
      <w:lvlJc w:val="right"/>
      <w:pPr>
        <w:ind w:left="6829" w:hanging="180"/>
      </w:pPr>
    </w:lvl>
  </w:abstractNum>
  <w:abstractNum w:abstractNumId="3" w15:restartNumberingAfterBreak="0">
    <w:nsid w:val="397872FF"/>
    <w:multiLevelType w:val="hybridMultilevel"/>
    <w:tmpl w:val="A3BE41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82320CE"/>
    <w:multiLevelType w:val="hybridMultilevel"/>
    <w:tmpl w:val="4EBE5B3A"/>
    <w:lvl w:ilvl="0" w:tplc="1F9AE24E">
      <w:start w:val="1"/>
      <w:numFmt w:val="decimal"/>
      <w:lvlText w:val="%1)"/>
      <w:lvlJc w:val="left"/>
      <w:pPr>
        <w:ind w:left="1020" w:hanging="360"/>
      </w:pPr>
    </w:lvl>
    <w:lvl w:ilvl="1" w:tplc="72E0618C">
      <w:start w:val="1"/>
      <w:numFmt w:val="decimal"/>
      <w:lvlText w:val="%2)"/>
      <w:lvlJc w:val="left"/>
      <w:pPr>
        <w:ind w:left="1020" w:hanging="360"/>
      </w:pPr>
    </w:lvl>
    <w:lvl w:ilvl="2" w:tplc="A000C468">
      <w:start w:val="1"/>
      <w:numFmt w:val="decimal"/>
      <w:lvlText w:val="%3)"/>
      <w:lvlJc w:val="left"/>
      <w:pPr>
        <w:ind w:left="1020" w:hanging="360"/>
      </w:pPr>
    </w:lvl>
    <w:lvl w:ilvl="3" w:tplc="86A02B3C">
      <w:start w:val="1"/>
      <w:numFmt w:val="decimal"/>
      <w:lvlText w:val="%4)"/>
      <w:lvlJc w:val="left"/>
      <w:pPr>
        <w:ind w:left="1020" w:hanging="360"/>
      </w:pPr>
    </w:lvl>
    <w:lvl w:ilvl="4" w:tplc="20B62D9A">
      <w:start w:val="1"/>
      <w:numFmt w:val="decimal"/>
      <w:lvlText w:val="%5)"/>
      <w:lvlJc w:val="left"/>
      <w:pPr>
        <w:ind w:left="1020" w:hanging="360"/>
      </w:pPr>
    </w:lvl>
    <w:lvl w:ilvl="5" w:tplc="C44C0930">
      <w:start w:val="1"/>
      <w:numFmt w:val="decimal"/>
      <w:lvlText w:val="%6)"/>
      <w:lvlJc w:val="left"/>
      <w:pPr>
        <w:ind w:left="1020" w:hanging="360"/>
      </w:pPr>
    </w:lvl>
    <w:lvl w:ilvl="6" w:tplc="C49C1CC8">
      <w:start w:val="1"/>
      <w:numFmt w:val="decimal"/>
      <w:lvlText w:val="%7)"/>
      <w:lvlJc w:val="left"/>
      <w:pPr>
        <w:ind w:left="1020" w:hanging="360"/>
      </w:pPr>
    </w:lvl>
    <w:lvl w:ilvl="7" w:tplc="88E64002">
      <w:start w:val="1"/>
      <w:numFmt w:val="decimal"/>
      <w:lvlText w:val="%8)"/>
      <w:lvlJc w:val="left"/>
      <w:pPr>
        <w:ind w:left="1020" w:hanging="360"/>
      </w:pPr>
    </w:lvl>
    <w:lvl w:ilvl="8" w:tplc="DA5C7B62">
      <w:start w:val="1"/>
      <w:numFmt w:val="decimal"/>
      <w:lvlText w:val="%9)"/>
      <w:lvlJc w:val="left"/>
      <w:pPr>
        <w:ind w:left="1020" w:hanging="360"/>
      </w:pPr>
    </w:lvl>
  </w:abstractNum>
  <w:abstractNum w:abstractNumId="5" w15:restartNumberingAfterBreak="0">
    <w:nsid w:val="757B4122"/>
    <w:multiLevelType w:val="hybridMultilevel"/>
    <w:tmpl w:val="C95C5078"/>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428696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992706">
    <w:abstractNumId w:val="0"/>
  </w:num>
  <w:num w:numId="3" w16cid:durableId="2126072269">
    <w:abstractNumId w:val="1"/>
  </w:num>
  <w:num w:numId="4" w16cid:durableId="1919511487">
    <w:abstractNumId w:val="3"/>
  </w:num>
  <w:num w:numId="5" w16cid:durableId="2134404153">
    <w:abstractNumId w:val="4"/>
  </w:num>
  <w:num w:numId="6" w16cid:durableId="1234927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32"/>
    <w:rsid w:val="00006E16"/>
    <w:rsid w:val="00011C7E"/>
    <w:rsid w:val="00012066"/>
    <w:rsid w:val="00015DE5"/>
    <w:rsid w:val="000167B0"/>
    <w:rsid w:val="00020E38"/>
    <w:rsid w:val="00023062"/>
    <w:rsid w:val="00034A4F"/>
    <w:rsid w:val="00035E33"/>
    <w:rsid w:val="00037E11"/>
    <w:rsid w:val="000432C1"/>
    <w:rsid w:val="000435FD"/>
    <w:rsid w:val="0004772F"/>
    <w:rsid w:val="000501DE"/>
    <w:rsid w:val="000518CF"/>
    <w:rsid w:val="000522B5"/>
    <w:rsid w:val="00053692"/>
    <w:rsid w:val="00054AAE"/>
    <w:rsid w:val="0005648E"/>
    <w:rsid w:val="00065489"/>
    <w:rsid w:val="00067BD2"/>
    <w:rsid w:val="000703C3"/>
    <w:rsid w:val="0007393F"/>
    <w:rsid w:val="00073E97"/>
    <w:rsid w:val="00081856"/>
    <w:rsid w:val="00084FF2"/>
    <w:rsid w:val="000904F9"/>
    <w:rsid w:val="00090F4F"/>
    <w:rsid w:val="00096244"/>
    <w:rsid w:val="000A4F89"/>
    <w:rsid w:val="000A56ED"/>
    <w:rsid w:val="000A78F4"/>
    <w:rsid w:val="000A7EFC"/>
    <w:rsid w:val="000A7FC2"/>
    <w:rsid w:val="000B046D"/>
    <w:rsid w:val="000B15D3"/>
    <w:rsid w:val="000B169C"/>
    <w:rsid w:val="000B2770"/>
    <w:rsid w:val="000B434A"/>
    <w:rsid w:val="000B4E07"/>
    <w:rsid w:val="000C0D27"/>
    <w:rsid w:val="000C1134"/>
    <w:rsid w:val="000C5119"/>
    <w:rsid w:val="000C64B2"/>
    <w:rsid w:val="000C72D3"/>
    <w:rsid w:val="000D0761"/>
    <w:rsid w:val="000D2293"/>
    <w:rsid w:val="000E3071"/>
    <w:rsid w:val="000E5606"/>
    <w:rsid w:val="000F18E7"/>
    <w:rsid w:val="000F663A"/>
    <w:rsid w:val="001012E8"/>
    <w:rsid w:val="00101340"/>
    <w:rsid w:val="00101EA0"/>
    <w:rsid w:val="00102FE1"/>
    <w:rsid w:val="00104C22"/>
    <w:rsid w:val="001070AA"/>
    <w:rsid w:val="0011079C"/>
    <w:rsid w:val="00111C85"/>
    <w:rsid w:val="00114B92"/>
    <w:rsid w:val="00114E66"/>
    <w:rsid w:val="00116E07"/>
    <w:rsid w:val="00120F5C"/>
    <w:rsid w:val="0012741D"/>
    <w:rsid w:val="001301CB"/>
    <w:rsid w:val="00130B5A"/>
    <w:rsid w:val="00135DBF"/>
    <w:rsid w:val="00140F30"/>
    <w:rsid w:val="00141E55"/>
    <w:rsid w:val="001430AB"/>
    <w:rsid w:val="00144A45"/>
    <w:rsid w:val="00144B53"/>
    <w:rsid w:val="00147080"/>
    <w:rsid w:val="001514FD"/>
    <w:rsid w:val="00161AFD"/>
    <w:rsid w:val="0016211F"/>
    <w:rsid w:val="0016363D"/>
    <w:rsid w:val="00176AE7"/>
    <w:rsid w:val="00176B61"/>
    <w:rsid w:val="00186683"/>
    <w:rsid w:val="00186D2D"/>
    <w:rsid w:val="001904FF"/>
    <w:rsid w:val="001905FC"/>
    <w:rsid w:val="0019208E"/>
    <w:rsid w:val="00195B3A"/>
    <w:rsid w:val="0019633C"/>
    <w:rsid w:val="0019643E"/>
    <w:rsid w:val="001A1070"/>
    <w:rsid w:val="001A25FB"/>
    <w:rsid w:val="001A4B5A"/>
    <w:rsid w:val="001B1116"/>
    <w:rsid w:val="001B1A2F"/>
    <w:rsid w:val="001B2D18"/>
    <w:rsid w:val="001B444F"/>
    <w:rsid w:val="001B47D0"/>
    <w:rsid w:val="001B5B65"/>
    <w:rsid w:val="001B73E5"/>
    <w:rsid w:val="001B748F"/>
    <w:rsid w:val="001C5A70"/>
    <w:rsid w:val="001C5D97"/>
    <w:rsid w:val="001C77E2"/>
    <w:rsid w:val="001D12E2"/>
    <w:rsid w:val="001D371E"/>
    <w:rsid w:val="001D67B2"/>
    <w:rsid w:val="001E74A8"/>
    <w:rsid w:val="001F426F"/>
    <w:rsid w:val="001F45AC"/>
    <w:rsid w:val="001F4722"/>
    <w:rsid w:val="001F4899"/>
    <w:rsid w:val="00200408"/>
    <w:rsid w:val="00201623"/>
    <w:rsid w:val="00202BC6"/>
    <w:rsid w:val="00203D67"/>
    <w:rsid w:val="00210104"/>
    <w:rsid w:val="0021277F"/>
    <w:rsid w:val="00213078"/>
    <w:rsid w:val="0021526D"/>
    <w:rsid w:val="00215FBC"/>
    <w:rsid w:val="00217D2A"/>
    <w:rsid w:val="00231C0C"/>
    <w:rsid w:val="002330AE"/>
    <w:rsid w:val="00240632"/>
    <w:rsid w:val="0025022C"/>
    <w:rsid w:val="002506F5"/>
    <w:rsid w:val="0025210A"/>
    <w:rsid w:val="00261744"/>
    <w:rsid w:val="0026188F"/>
    <w:rsid w:val="00262003"/>
    <w:rsid w:val="002709CC"/>
    <w:rsid w:val="00271990"/>
    <w:rsid w:val="002734D9"/>
    <w:rsid w:val="002738C5"/>
    <w:rsid w:val="002769E5"/>
    <w:rsid w:val="002840A6"/>
    <w:rsid w:val="00286786"/>
    <w:rsid w:val="00286893"/>
    <w:rsid w:val="002868C3"/>
    <w:rsid w:val="0029213E"/>
    <w:rsid w:val="00294042"/>
    <w:rsid w:val="00296CD5"/>
    <w:rsid w:val="002978B0"/>
    <w:rsid w:val="002A3667"/>
    <w:rsid w:val="002A3BE7"/>
    <w:rsid w:val="002A4002"/>
    <w:rsid w:val="002A7E0E"/>
    <w:rsid w:val="002B04B2"/>
    <w:rsid w:val="002B4FF0"/>
    <w:rsid w:val="002C494B"/>
    <w:rsid w:val="002C59F2"/>
    <w:rsid w:val="002D3BDD"/>
    <w:rsid w:val="002D3E4D"/>
    <w:rsid w:val="002D5214"/>
    <w:rsid w:val="002D7DE7"/>
    <w:rsid w:val="002E3351"/>
    <w:rsid w:val="002E3F1F"/>
    <w:rsid w:val="002E44AF"/>
    <w:rsid w:val="002E4A52"/>
    <w:rsid w:val="002E6564"/>
    <w:rsid w:val="002F1075"/>
    <w:rsid w:val="002F2728"/>
    <w:rsid w:val="002F4B78"/>
    <w:rsid w:val="002F6AA5"/>
    <w:rsid w:val="003053B3"/>
    <w:rsid w:val="00311A67"/>
    <w:rsid w:val="0031258B"/>
    <w:rsid w:val="0032119F"/>
    <w:rsid w:val="00323B8B"/>
    <w:rsid w:val="00323E65"/>
    <w:rsid w:val="00326E91"/>
    <w:rsid w:val="0032708C"/>
    <w:rsid w:val="0032765F"/>
    <w:rsid w:val="0032777C"/>
    <w:rsid w:val="0032798D"/>
    <w:rsid w:val="00327A80"/>
    <w:rsid w:val="00327AB5"/>
    <w:rsid w:val="00327D6F"/>
    <w:rsid w:val="00327EB2"/>
    <w:rsid w:val="00334609"/>
    <w:rsid w:val="003378E4"/>
    <w:rsid w:val="003404CF"/>
    <w:rsid w:val="00340667"/>
    <w:rsid w:val="00342DFF"/>
    <w:rsid w:val="00344FDB"/>
    <w:rsid w:val="0034615F"/>
    <w:rsid w:val="00354B05"/>
    <w:rsid w:val="00356BF0"/>
    <w:rsid w:val="00357716"/>
    <w:rsid w:val="003608FA"/>
    <w:rsid w:val="00360FCA"/>
    <w:rsid w:val="00361E80"/>
    <w:rsid w:val="00363587"/>
    <w:rsid w:val="003670FC"/>
    <w:rsid w:val="003728C6"/>
    <w:rsid w:val="00375231"/>
    <w:rsid w:val="00380E4E"/>
    <w:rsid w:val="00381D95"/>
    <w:rsid w:val="0038402C"/>
    <w:rsid w:val="00390BF5"/>
    <w:rsid w:val="00391019"/>
    <w:rsid w:val="00391795"/>
    <w:rsid w:val="003A1D0F"/>
    <w:rsid w:val="003A2390"/>
    <w:rsid w:val="003A265D"/>
    <w:rsid w:val="003A68DD"/>
    <w:rsid w:val="003B0329"/>
    <w:rsid w:val="003B0377"/>
    <w:rsid w:val="003B1230"/>
    <w:rsid w:val="003B1AAD"/>
    <w:rsid w:val="003B300E"/>
    <w:rsid w:val="003B6A02"/>
    <w:rsid w:val="003C5A7C"/>
    <w:rsid w:val="003C740D"/>
    <w:rsid w:val="003D4087"/>
    <w:rsid w:val="003D557A"/>
    <w:rsid w:val="003D6BD9"/>
    <w:rsid w:val="003E13A6"/>
    <w:rsid w:val="003E1E72"/>
    <w:rsid w:val="003E2E46"/>
    <w:rsid w:val="003E3B0F"/>
    <w:rsid w:val="003E4A32"/>
    <w:rsid w:val="003E5509"/>
    <w:rsid w:val="003E655E"/>
    <w:rsid w:val="003F4D01"/>
    <w:rsid w:val="003F6192"/>
    <w:rsid w:val="003F6B8B"/>
    <w:rsid w:val="003F77E7"/>
    <w:rsid w:val="00401F60"/>
    <w:rsid w:val="004032AA"/>
    <w:rsid w:val="00410303"/>
    <w:rsid w:val="00411AA0"/>
    <w:rsid w:val="00414B65"/>
    <w:rsid w:val="004157ED"/>
    <w:rsid w:val="00415F4C"/>
    <w:rsid w:val="00416092"/>
    <w:rsid w:val="00417044"/>
    <w:rsid w:val="00417B1D"/>
    <w:rsid w:val="004206EF"/>
    <w:rsid w:val="0042260B"/>
    <w:rsid w:val="004234D2"/>
    <w:rsid w:val="00424915"/>
    <w:rsid w:val="004262A6"/>
    <w:rsid w:val="004400E3"/>
    <w:rsid w:val="00440330"/>
    <w:rsid w:val="00442420"/>
    <w:rsid w:val="00447E76"/>
    <w:rsid w:val="00450356"/>
    <w:rsid w:val="00453F05"/>
    <w:rsid w:val="004544C0"/>
    <w:rsid w:val="00454AF5"/>
    <w:rsid w:val="0045746D"/>
    <w:rsid w:val="00470540"/>
    <w:rsid w:val="00480294"/>
    <w:rsid w:val="0048156B"/>
    <w:rsid w:val="0048283F"/>
    <w:rsid w:val="0048322A"/>
    <w:rsid w:val="00483D3D"/>
    <w:rsid w:val="00484486"/>
    <w:rsid w:val="0048458C"/>
    <w:rsid w:val="00485BA9"/>
    <w:rsid w:val="00485E42"/>
    <w:rsid w:val="00491528"/>
    <w:rsid w:val="00493C5F"/>
    <w:rsid w:val="00494590"/>
    <w:rsid w:val="0049608B"/>
    <w:rsid w:val="0049625F"/>
    <w:rsid w:val="004968BC"/>
    <w:rsid w:val="00496977"/>
    <w:rsid w:val="004A0B34"/>
    <w:rsid w:val="004A187C"/>
    <w:rsid w:val="004A1D2E"/>
    <w:rsid w:val="004A28F1"/>
    <w:rsid w:val="004A29F3"/>
    <w:rsid w:val="004B0E98"/>
    <w:rsid w:val="004B1AB8"/>
    <w:rsid w:val="004B5802"/>
    <w:rsid w:val="004B7FEA"/>
    <w:rsid w:val="004C0356"/>
    <w:rsid w:val="004C147D"/>
    <w:rsid w:val="004C5C77"/>
    <w:rsid w:val="004C5EE8"/>
    <w:rsid w:val="004C63E9"/>
    <w:rsid w:val="004C6CD0"/>
    <w:rsid w:val="004C7745"/>
    <w:rsid w:val="004C7CC0"/>
    <w:rsid w:val="004D0767"/>
    <w:rsid w:val="004D2868"/>
    <w:rsid w:val="004E036A"/>
    <w:rsid w:val="004E17EA"/>
    <w:rsid w:val="004E23D3"/>
    <w:rsid w:val="004E2CAB"/>
    <w:rsid w:val="004E5E01"/>
    <w:rsid w:val="004F0B38"/>
    <w:rsid w:val="004F1396"/>
    <w:rsid w:val="004F2083"/>
    <w:rsid w:val="004F3940"/>
    <w:rsid w:val="004F47C4"/>
    <w:rsid w:val="00500A41"/>
    <w:rsid w:val="005102EA"/>
    <w:rsid w:val="005125F9"/>
    <w:rsid w:val="00512F59"/>
    <w:rsid w:val="00514DFE"/>
    <w:rsid w:val="00517A2C"/>
    <w:rsid w:val="00525F3E"/>
    <w:rsid w:val="005310FF"/>
    <w:rsid w:val="00531AAD"/>
    <w:rsid w:val="005322BD"/>
    <w:rsid w:val="00540612"/>
    <w:rsid w:val="005411A9"/>
    <w:rsid w:val="00541AFB"/>
    <w:rsid w:val="00544641"/>
    <w:rsid w:val="00544B65"/>
    <w:rsid w:val="00551F67"/>
    <w:rsid w:val="00555D5D"/>
    <w:rsid w:val="00556B36"/>
    <w:rsid w:val="005627B9"/>
    <w:rsid w:val="005707E7"/>
    <w:rsid w:val="005713D9"/>
    <w:rsid w:val="00572E63"/>
    <w:rsid w:val="005760D7"/>
    <w:rsid w:val="00576F32"/>
    <w:rsid w:val="00581D15"/>
    <w:rsid w:val="00582BDE"/>
    <w:rsid w:val="00585349"/>
    <w:rsid w:val="00586E17"/>
    <w:rsid w:val="005919C8"/>
    <w:rsid w:val="00591A0A"/>
    <w:rsid w:val="00593C4F"/>
    <w:rsid w:val="005940D6"/>
    <w:rsid w:val="00594F51"/>
    <w:rsid w:val="005A188F"/>
    <w:rsid w:val="005A29CE"/>
    <w:rsid w:val="005A2E3E"/>
    <w:rsid w:val="005B0CE7"/>
    <w:rsid w:val="005C2944"/>
    <w:rsid w:val="005C3929"/>
    <w:rsid w:val="005C3DEB"/>
    <w:rsid w:val="005C7F4D"/>
    <w:rsid w:val="005D15A9"/>
    <w:rsid w:val="005D4298"/>
    <w:rsid w:val="005D7CA1"/>
    <w:rsid w:val="005E0BD6"/>
    <w:rsid w:val="005E3D78"/>
    <w:rsid w:val="005F03BA"/>
    <w:rsid w:val="005F5A98"/>
    <w:rsid w:val="00601D1F"/>
    <w:rsid w:val="006028EC"/>
    <w:rsid w:val="00602A3A"/>
    <w:rsid w:val="00602F23"/>
    <w:rsid w:val="0060372C"/>
    <w:rsid w:val="006045EB"/>
    <w:rsid w:val="006059D7"/>
    <w:rsid w:val="00610D11"/>
    <w:rsid w:val="00611D40"/>
    <w:rsid w:val="006156D4"/>
    <w:rsid w:val="00616863"/>
    <w:rsid w:val="006174F3"/>
    <w:rsid w:val="00620D37"/>
    <w:rsid w:val="00622399"/>
    <w:rsid w:val="006224BC"/>
    <w:rsid w:val="006224D4"/>
    <w:rsid w:val="00623DED"/>
    <w:rsid w:val="00627683"/>
    <w:rsid w:val="00634DFD"/>
    <w:rsid w:val="006361DF"/>
    <w:rsid w:val="0063654D"/>
    <w:rsid w:val="0063798A"/>
    <w:rsid w:val="00641CE0"/>
    <w:rsid w:val="00646088"/>
    <w:rsid w:val="006537B6"/>
    <w:rsid w:val="00653F3E"/>
    <w:rsid w:val="00660AC0"/>
    <w:rsid w:val="006619EF"/>
    <w:rsid w:val="006621F8"/>
    <w:rsid w:val="00663EFD"/>
    <w:rsid w:val="0066546D"/>
    <w:rsid w:val="00665EB3"/>
    <w:rsid w:val="0066669A"/>
    <w:rsid w:val="00675CAE"/>
    <w:rsid w:val="0068326E"/>
    <w:rsid w:val="00683A4B"/>
    <w:rsid w:val="00684A61"/>
    <w:rsid w:val="00687537"/>
    <w:rsid w:val="0069393E"/>
    <w:rsid w:val="00694892"/>
    <w:rsid w:val="00696AC2"/>
    <w:rsid w:val="006A2702"/>
    <w:rsid w:val="006A4BA1"/>
    <w:rsid w:val="006B0134"/>
    <w:rsid w:val="006B045F"/>
    <w:rsid w:val="006B2D65"/>
    <w:rsid w:val="006C06A8"/>
    <w:rsid w:val="006C4AC3"/>
    <w:rsid w:val="006D45D3"/>
    <w:rsid w:val="006D5A86"/>
    <w:rsid w:val="006D6583"/>
    <w:rsid w:val="006D6CA3"/>
    <w:rsid w:val="006E0499"/>
    <w:rsid w:val="006E178D"/>
    <w:rsid w:val="006E1BA7"/>
    <w:rsid w:val="006E3298"/>
    <w:rsid w:val="006F2C77"/>
    <w:rsid w:val="006F5FB2"/>
    <w:rsid w:val="006F66DF"/>
    <w:rsid w:val="007007B2"/>
    <w:rsid w:val="007022EC"/>
    <w:rsid w:val="00714306"/>
    <w:rsid w:val="007166F4"/>
    <w:rsid w:val="00717A81"/>
    <w:rsid w:val="00717EA9"/>
    <w:rsid w:val="00720A21"/>
    <w:rsid w:val="00722869"/>
    <w:rsid w:val="00733676"/>
    <w:rsid w:val="00736577"/>
    <w:rsid w:val="00737582"/>
    <w:rsid w:val="0074078E"/>
    <w:rsid w:val="007407E5"/>
    <w:rsid w:val="00740A75"/>
    <w:rsid w:val="00744BF6"/>
    <w:rsid w:val="007469F7"/>
    <w:rsid w:val="00746B16"/>
    <w:rsid w:val="00752824"/>
    <w:rsid w:val="00752B7A"/>
    <w:rsid w:val="00753971"/>
    <w:rsid w:val="00756CBC"/>
    <w:rsid w:val="00756E7C"/>
    <w:rsid w:val="00761848"/>
    <w:rsid w:val="007700AB"/>
    <w:rsid w:val="007724D5"/>
    <w:rsid w:val="00773732"/>
    <w:rsid w:val="007749A2"/>
    <w:rsid w:val="00775F33"/>
    <w:rsid w:val="00781321"/>
    <w:rsid w:val="00781E00"/>
    <w:rsid w:val="00785DDA"/>
    <w:rsid w:val="00786534"/>
    <w:rsid w:val="007948C8"/>
    <w:rsid w:val="00797090"/>
    <w:rsid w:val="007A5604"/>
    <w:rsid w:val="007B26C3"/>
    <w:rsid w:val="007B5CE7"/>
    <w:rsid w:val="007B706A"/>
    <w:rsid w:val="007C3083"/>
    <w:rsid w:val="007C3D02"/>
    <w:rsid w:val="007C6A64"/>
    <w:rsid w:val="007D3262"/>
    <w:rsid w:val="007D6346"/>
    <w:rsid w:val="007D7D17"/>
    <w:rsid w:val="007E1356"/>
    <w:rsid w:val="007E1874"/>
    <w:rsid w:val="007E22D2"/>
    <w:rsid w:val="007E233C"/>
    <w:rsid w:val="007E24CB"/>
    <w:rsid w:val="007E462B"/>
    <w:rsid w:val="007E587E"/>
    <w:rsid w:val="007E6E65"/>
    <w:rsid w:val="007E7F59"/>
    <w:rsid w:val="007F0B48"/>
    <w:rsid w:val="007F3A68"/>
    <w:rsid w:val="007F58A5"/>
    <w:rsid w:val="007F64F8"/>
    <w:rsid w:val="00807EC7"/>
    <w:rsid w:val="00807F56"/>
    <w:rsid w:val="00810447"/>
    <w:rsid w:val="00820C99"/>
    <w:rsid w:val="00824001"/>
    <w:rsid w:val="008240C7"/>
    <w:rsid w:val="0082579A"/>
    <w:rsid w:val="00831606"/>
    <w:rsid w:val="008319E0"/>
    <w:rsid w:val="00837C56"/>
    <w:rsid w:val="00841F18"/>
    <w:rsid w:val="00845D50"/>
    <w:rsid w:val="0085467A"/>
    <w:rsid w:val="00855774"/>
    <w:rsid w:val="00863159"/>
    <w:rsid w:val="008635C5"/>
    <w:rsid w:val="0086783C"/>
    <w:rsid w:val="00867AF0"/>
    <w:rsid w:val="00876587"/>
    <w:rsid w:val="00885B99"/>
    <w:rsid w:val="0088667B"/>
    <w:rsid w:val="00890367"/>
    <w:rsid w:val="00893183"/>
    <w:rsid w:val="0089329D"/>
    <w:rsid w:val="00894DA5"/>
    <w:rsid w:val="008968FF"/>
    <w:rsid w:val="00897FA7"/>
    <w:rsid w:val="008A21BF"/>
    <w:rsid w:val="008A22DB"/>
    <w:rsid w:val="008A4E61"/>
    <w:rsid w:val="008B03A9"/>
    <w:rsid w:val="008B0FAD"/>
    <w:rsid w:val="008B2CD8"/>
    <w:rsid w:val="008B4386"/>
    <w:rsid w:val="008B4B28"/>
    <w:rsid w:val="008C0D23"/>
    <w:rsid w:val="008C1569"/>
    <w:rsid w:val="008C18EB"/>
    <w:rsid w:val="008D2B98"/>
    <w:rsid w:val="008D547B"/>
    <w:rsid w:val="008E01E6"/>
    <w:rsid w:val="008E2B00"/>
    <w:rsid w:val="008E31CA"/>
    <w:rsid w:val="008E469D"/>
    <w:rsid w:val="008F4574"/>
    <w:rsid w:val="008F4ABF"/>
    <w:rsid w:val="008F5255"/>
    <w:rsid w:val="009001A8"/>
    <w:rsid w:val="009006F4"/>
    <w:rsid w:val="00904B04"/>
    <w:rsid w:val="0090752C"/>
    <w:rsid w:val="00911021"/>
    <w:rsid w:val="00911425"/>
    <w:rsid w:val="00913F4F"/>
    <w:rsid w:val="00917742"/>
    <w:rsid w:val="00920073"/>
    <w:rsid w:val="0092494E"/>
    <w:rsid w:val="009253E3"/>
    <w:rsid w:val="00925765"/>
    <w:rsid w:val="009311A5"/>
    <w:rsid w:val="00931C67"/>
    <w:rsid w:val="0093627F"/>
    <w:rsid w:val="00942C13"/>
    <w:rsid w:val="00943A6B"/>
    <w:rsid w:val="00945884"/>
    <w:rsid w:val="00946CD3"/>
    <w:rsid w:val="00952CDF"/>
    <w:rsid w:val="009713C2"/>
    <w:rsid w:val="009812C0"/>
    <w:rsid w:val="009827C2"/>
    <w:rsid w:val="00986320"/>
    <w:rsid w:val="00990CAF"/>
    <w:rsid w:val="009A0282"/>
    <w:rsid w:val="009A19E1"/>
    <w:rsid w:val="009A1E8D"/>
    <w:rsid w:val="009A5925"/>
    <w:rsid w:val="009A7053"/>
    <w:rsid w:val="009B5B8F"/>
    <w:rsid w:val="009B66B5"/>
    <w:rsid w:val="009B705E"/>
    <w:rsid w:val="009B7CE8"/>
    <w:rsid w:val="009C28BB"/>
    <w:rsid w:val="009C2B8A"/>
    <w:rsid w:val="009C6242"/>
    <w:rsid w:val="009C6726"/>
    <w:rsid w:val="009C6A8A"/>
    <w:rsid w:val="009D603F"/>
    <w:rsid w:val="009D6C92"/>
    <w:rsid w:val="009E356C"/>
    <w:rsid w:val="009F0C13"/>
    <w:rsid w:val="009F26E5"/>
    <w:rsid w:val="009F7A93"/>
    <w:rsid w:val="00A10269"/>
    <w:rsid w:val="00A10E27"/>
    <w:rsid w:val="00A12872"/>
    <w:rsid w:val="00A14370"/>
    <w:rsid w:val="00A25D02"/>
    <w:rsid w:val="00A309C0"/>
    <w:rsid w:val="00A30A9A"/>
    <w:rsid w:val="00A31709"/>
    <w:rsid w:val="00A37166"/>
    <w:rsid w:val="00A42EFB"/>
    <w:rsid w:val="00A43551"/>
    <w:rsid w:val="00A43D97"/>
    <w:rsid w:val="00A4700B"/>
    <w:rsid w:val="00A55B71"/>
    <w:rsid w:val="00A64A5B"/>
    <w:rsid w:val="00A65F94"/>
    <w:rsid w:val="00A667C3"/>
    <w:rsid w:val="00A67DB3"/>
    <w:rsid w:val="00A731DE"/>
    <w:rsid w:val="00A73542"/>
    <w:rsid w:val="00A824BE"/>
    <w:rsid w:val="00A9606E"/>
    <w:rsid w:val="00AA0DAA"/>
    <w:rsid w:val="00AA3B60"/>
    <w:rsid w:val="00AB06A2"/>
    <w:rsid w:val="00AC2FC5"/>
    <w:rsid w:val="00AC3CCF"/>
    <w:rsid w:val="00AC5320"/>
    <w:rsid w:val="00AC5F32"/>
    <w:rsid w:val="00AC69A1"/>
    <w:rsid w:val="00AD01A9"/>
    <w:rsid w:val="00AD4FA2"/>
    <w:rsid w:val="00AE7093"/>
    <w:rsid w:val="00AE7F14"/>
    <w:rsid w:val="00AF12C7"/>
    <w:rsid w:val="00AF4D04"/>
    <w:rsid w:val="00B05794"/>
    <w:rsid w:val="00B06D08"/>
    <w:rsid w:val="00B075CA"/>
    <w:rsid w:val="00B11830"/>
    <w:rsid w:val="00B1476B"/>
    <w:rsid w:val="00B175DF"/>
    <w:rsid w:val="00B23D50"/>
    <w:rsid w:val="00B23F99"/>
    <w:rsid w:val="00B27076"/>
    <w:rsid w:val="00B308AD"/>
    <w:rsid w:val="00B33BC5"/>
    <w:rsid w:val="00B34A5E"/>
    <w:rsid w:val="00B34ACF"/>
    <w:rsid w:val="00B34C29"/>
    <w:rsid w:val="00B35AF2"/>
    <w:rsid w:val="00B4082D"/>
    <w:rsid w:val="00B46BE2"/>
    <w:rsid w:val="00B50860"/>
    <w:rsid w:val="00B56A66"/>
    <w:rsid w:val="00B56FDC"/>
    <w:rsid w:val="00B57AAE"/>
    <w:rsid w:val="00B600C4"/>
    <w:rsid w:val="00B65D19"/>
    <w:rsid w:val="00B6679F"/>
    <w:rsid w:val="00B70B3D"/>
    <w:rsid w:val="00B70FE0"/>
    <w:rsid w:val="00B72D28"/>
    <w:rsid w:val="00B74465"/>
    <w:rsid w:val="00B74A06"/>
    <w:rsid w:val="00B77954"/>
    <w:rsid w:val="00B7795E"/>
    <w:rsid w:val="00B80CAA"/>
    <w:rsid w:val="00B80CFC"/>
    <w:rsid w:val="00B823EA"/>
    <w:rsid w:val="00B90C60"/>
    <w:rsid w:val="00B90D99"/>
    <w:rsid w:val="00B91937"/>
    <w:rsid w:val="00B94789"/>
    <w:rsid w:val="00B977CD"/>
    <w:rsid w:val="00B978EB"/>
    <w:rsid w:val="00BA2A0A"/>
    <w:rsid w:val="00BA4B04"/>
    <w:rsid w:val="00BA666E"/>
    <w:rsid w:val="00BB315A"/>
    <w:rsid w:val="00BB435C"/>
    <w:rsid w:val="00BC2A3D"/>
    <w:rsid w:val="00BC6FFA"/>
    <w:rsid w:val="00BD2133"/>
    <w:rsid w:val="00BD6494"/>
    <w:rsid w:val="00BD74C0"/>
    <w:rsid w:val="00BE0E03"/>
    <w:rsid w:val="00BE38E6"/>
    <w:rsid w:val="00BE4DA4"/>
    <w:rsid w:val="00BE5FDD"/>
    <w:rsid w:val="00BE740B"/>
    <w:rsid w:val="00BF0ABA"/>
    <w:rsid w:val="00BF1AD6"/>
    <w:rsid w:val="00BF21B9"/>
    <w:rsid w:val="00C03B7E"/>
    <w:rsid w:val="00C04302"/>
    <w:rsid w:val="00C063E6"/>
    <w:rsid w:val="00C13578"/>
    <w:rsid w:val="00C138C0"/>
    <w:rsid w:val="00C145D3"/>
    <w:rsid w:val="00C16664"/>
    <w:rsid w:val="00C172C1"/>
    <w:rsid w:val="00C23381"/>
    <w:rsid w:val="00C24589"/>
    <w:rsid w:val="00C255E1"/>
    <w:rsid w:val="00C327F3"/>
    <w:rsid w:val="00C33799"/>
    <w:rsid w:val="00C34427"/>
    <w:rsid w:val="00C41A65"/>
    <w:rsid w:val="00C460DB"/>
    <w:rsid w:val="00C463BB"/>
    <w:rsid w:val="00C465B5"/>
    <w:rsid w:val="00C505A8"/>
    <w:rsid w:val="00C50D00"/>
    <w:rsid w:val="00C51D48"/>
    <w:rsid w:val="00C51E4B"/>
    <w:rsid w:val="00C54F7F"/>
    <w:rsid w:val="00C57560"/>
    <w:rsid w:val="00C604BD"/>
    <w:rsid w:val="00C644AD"/>
    <w:rsid w:val="00C65911"/>
    <w:rsid w:val="00C67057"/>
    <w:rsid w:val="00C700B8"/>
    <w:rsid w:val="00C71397"/>
    <w:rsid w:val="00C75A60"/>
    <w:rsid w:val="00C801C5"/>
    <w:rsid w:val="00C81A96"/>
    <w:rsid w:val="00C8225F"/>
    <w:rsid w:val="00C84E84"/>
    <w:rsid w:val="00C91790"/>
    <w:rsid w:val="00C92D74"/>
    <w:rsid w:val="00C96DC6"/>
    <w:rsid w:val="00C9758A"/>
    <w:rsid w:val="00CA39D5"/>
    <w:rsid w:val="00CA4260"/>
    <w:rsid w:val="00CA4F18"/>
    <w:rsid w:val="00CA79AD"/>
    <w:rsid w:val="00CB2420"/>
    <w:rsid w:val="00CB28B4"/>
    <w:rsid w:val="00CB347B"/>
    <w:rsid w:val="00CB5890"/>
    <w:rsid w:val="00CB7DA0"/>
    <w:rsid w:val="00CC0798"/>
    <w:rsid w:val="00CC0CC6"/>
    <w:rsid w:val="00CC403C"/>
    <w:rsid w:val="00CC4673"/>
    <w:rsid w:val="00CC4A30"/>
    <w:rsid w:val="00CD391E"/>
    <w:rsid w:val="00CD3FFB"/>
    <w:rsid w:val="00CD7407"/>
    <w:rsid w:val="00CF3C44"/>
    <w:rsid w:val="00CF6285"/>
    <w:rsid w:val="00D01B17"/>
    <w:rsid w:val="00D02D28"/>
    <w:rsid w:val="00D053CB"/>
    <w:rsid w:val="00D06EA4"/>
    <w:rsid w:val="00D10E91"/>
    <w:rsid w:val="00D11044"/>
    <w:rsid w:val="00D136BD"/>
    <w:rsid w:val="00D1575F"/>
    <w:rsid w:val="00D160FD"/>
    <w:rsid w:val="00D17469"/>
    <w:rsid w:val="00D17D0A"/>
    <w:rsid w:val="00D23A40"/>
    <w:rsid w:val="00D24F0D"/>
    <w:rsid w:val="00D24FB5"/>
    <w:rsid w:val="00D25DDE"/>
    <w:rsid w:val="00D32581"/>
    <w:rsid w:val="00D32D37"/>
    <w:rsid w:val="00D335BB"/>
    <w:rsid w:val="00D457F9"/>
    <w:rsid w:val="00D4586C"/>
    <w:rsid w:val="00D46B75"/>
    <w:rsid w:val="00D474BB"/>
    <w:rsid w:val="00D508BA"/>
    <w:rsid w:val="00D517E8"/>
    <w:rsid w:val="00D523A9"/>
    <w:rsid w:val="00D534FA"/>
    <w:rsid w:val="00D54669"/>
    <w:rsid w:val="00D55E8C"/>
    <w:rsid w:val="00D71141"/>
    <w:rsid w:val="00D72C31"/>
    <w:rsid w:val="00D73047"/>
    <w:rsid w:val="00D73215"/>
    <w:rsid w:val="00D75B93"/>
    <w:rsid w:val="00D7626F"/>
    <w:rsid w:val="00D778A6"/>
    <w:rsid w:val="00D82A9E"/>
    <w:rsid w:val="00D82B38"/>
    <w:rsid w:val="00D90B1C"/>
    <w:rsid w:val="00D95591"/>
    <w:rsid w:val="00D96D7E"/>
    <w:rsid w:val="00DA1CEE"/>
    <w:rsid w:val="00DA5F94"/>
    <w:rsid w:val="00DA6AAF"/>
    <w:rsid w:val="00DA70D8"/>
    <w:rsid w:val="00DB1759"/>
    <w:rsid w:val="00DB21AF"/>
    <w:rsid w:val="00DB31D9"/>
    <w:rsid w:val="00DB69A6"/>
    <w:rsid w:val="00DC02D4"/>
    <w:rsid w:val="00DD0144"/>
    <w:rsid w:val="00DD11D9"/>
    <w:rsid w:val="00DD4A02"/>
    <w:rsid w:val="00DD593C"/>
    <w:rsid w:val="00DD5CA7"/>
    <w:rsid w:val="00DE2ADA"/>
    <w:rsid w:val="00DE3B96"/>
    <w:rsid w:val="00DE4CC5"/>
    <w:rsid w:val="00DF0414"/>
    <w:rsid w:val="00DF1A90"/>
    <w:rsid w:val="00DF7918"/>
    <w:rsid w:val="00DF7A32"/>
    <w:rsid w:val="00E00763"/>
    <w:rsid w:val="00E01A26"/>
    <w:rsid w:val="00E0704B"/>
    <w:rsid w:val="00E11AD5"/>
    <w:rsid w:val="00E11AD9"/>
    <w:rsid w:val="00E157B3"/>
    <w:rsid w:val="00E24E26"/>
    <w:rsid w:val="00E25551"/>
    <w:rsid w:val="00E271EC"/>
    <w:rsid w:val="00E3122C"/>
    <w:rsid w:val="00E33E9A"/>
    <w:rsid w:val="00E345F7"/>
    <w:rsid w:val="00E41012"/>
    <w:rsid w:val="00E43555"/>
    <w:rsid w:val="00E4697E"/>
    <w:rsid w:val="00E51D79"/>
    <w:rsid w:val="00E55381"/>
    <w:rsid w:val="00E55C54"/>
    <w:rsid w:val="00E57521"/>
    <w:rsid w:val="00E616B1"/>
    <w:rsid w:val="00E63B52"/>
    <w:rsid w:val="00E653F5"/>
    <w:rsid w:val="00E70E67"/>
    <w:rsid w:val="00E743F4"/>
    <w:rsid w:val="00E74962"/>
    <w:rsid w:val="00E81C89"/>
    <w:rsid w:val="00E81E1C"/>
    <w:rsid w:val="00E82661"/>
    <w:rsid w:val="00E83148"/>
    <w:rsid w:val="00E85B21"/>
    <w:rsid w:val="00E87172"/>
    <w:rsid w:val="00EA1D1F"/>
    <w:rsid w:val="00EA57BA"/>
    <w:rsid w:val="00EA77BB"/>
    <w:rsid w:val="00EB1EF5"/>
    <w:rsid w:val="00EB5152"/>
    <w:rsid w:val="00EB51E6"/>
    <w:rsid w:val="00EB56ED"/>
    <w:rsid w:val="00EC1425"/>
    <w:rsid w:val="00EC1E5A"/>
    <w:rsid w:val="00EC28D4"/>
    <w:rsid w:val="00EC63D2"/>
    <w:rsid w:val="00ED2DE3"/>
    <w:rsid w:val="00ED5BC5"/>
    <w:rsid w:val="00ED6A99"/>
    <w:rsid w:val="00ED7C6D"/>
    <w:rsid w:val="00EE0281"/>
    <w:rsid w:val="00EE5746"/>
    <w:rsid w:val="00EF065C"/>
    <w:rsid w:val="00EF3A0C"/>
    <w:rsid w:val="00EF46B4"/>
    <w:rsid w:val="00EF6DD9"/>
    <w:rsid w:val="00EF700A"/>
    <w:rsid w:val="00F00CCE"/>
    <w:rsid w:val="00F01291"/>
    <w:rsid w:val="00F013DD"/>
    <w:rsid w:val="00F031A2"/>
    <w:rsid w:val="00F03A0A"/>
    <w:rsid w:val="00F0799F"/>
    <w:rsid w:val="00F15346"/>
    <w:rsid w:val="00F16A7B"/>
    <w:rsid w:val="00F208D3"/>
    <w:rsid w:val="00F23351"/>
    <w:rsid w:val="00F23B19"/>
    <w:rsid w:val="00F2427C"/>
    <w:rsid w:val="00F26B35"/>
    <w:rsid w:val="00F276BE"/>
    <w:rsid w:val="00F31746"/>
    <w:rsid w:val="00F33CC4"/>
    <w:rsid w:val="00F35850"/>
    <w:rsid w:val="00F4032F"/>
    <w:rsid w:val="00F41A1E"/>
    <w:rsid w:val="00F42B23"/>
    <w:rsid w:val="00F43DB6"/>
    <w:rsid w:val="00F443B1"/>
    <w:rsid w:val="00F47DE7"/>
    <w:rsid w:val="00F47EE9"/>
    <w:rsid w:val="00F52B3C"/>
    <w:rsid w:val="00F56046"/>
    <w:rsid w:val="00F569A7"/>
    <w:rsid w:val="00F573FA"/>
    <w:rsid w:val="00F600C8"/>
    <w:rsid w:val="00F603EA"/>
    <w:rsid w:val="00F63AAD"/>
    <w:rsid w:val="00F648BD"/>
    <w:rsid w:val="00F70196"/>
    <w:rsid w:val="00F743E6"/>
    <w:rsid w:val="00F743F1"/>
    <w:rsid w:val="00F824AC"/>
    <w:rsid w:val="00F901A1"/>
    <w:rsid w:val="00F90B8B"/>
    <w:rsid w:val="00F926F6"/>
    <w:rsid w:val="00F93602"/>
    <w:rsid w:val="00F93669"/>
    <w:rsid w:val="00F953E5"/>
    <w:rsid w:val="00F9710B"/>
    <w:rsid w:val="00FA17CC"/>
    <w:rsid w:val="00FA27B6"/>
    <w:rsid w:val="00FA75E7"/>
    <w:rsid w:val="00FB0E15"/>
    <w:rsid w:val="00FB590A"/>
    <w:rsid w:val="00FB725D"/>
    <w:rsid w:val="00FC0E98"/>
    <w:rsid w:val="00FC2A24"/>
    <w:rsid w:val="00FC2BBF"/>
    <w:rsid w:val="00FC62FA"/>
    <w:rsid w:val="00FD19AE"/>
    <w:rsid w:val="00FD230B"/>
    <w:rsid w:val="00FD5928"/>
    <w:rsid w:val="00FD69E0"/>
    <w:rsid w:val="00FD7A15"/>
    <w:rsid w:val="00FE0623"/>
    <w:rsid w:val="00FE0B43"/>
    <w:rsid w:val="00FE18E9"/>
    <w:rsid w:val="00FE6752"/>
    <w:rsid w:val="00FF0482"/>
    <w:rsid w:val="00FF0D07"/>
    <w:rsid w:val="00FF5EAE"/>
    <w:rsid w:val="00FF6462"/>
    <w:rsid w:val="00FF7C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F5E8"/>
  <w15:chartTrackingRefBased/>
  <w15:docId w15:val="{4C66A700-0FB2-4258-94B8-D6C326DE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34A5E"/>
  </w:style>
  <w:style w:type="paragraph" w:styleId="Pealkiri3">
    <w:name w:val="heading 3"/>
    <w:basedOn w:val="Normaallaad"/>
    <w:link w:val="Pealkiri3Mrk"/>
    <w:uiPriority w:val="9"/>
    <w:qFormat/>
    <w:rsid w:val="00294042"/>
    <w:pPr>
      <w:spacing w:before="100" w:beforeAutospacing="1" w:after="100" w:afterAutospacing="1"/>
      <w:outlineLvl w:val="2"/>
    </w:pPr>
    <w:rPr>
      <w:rFonts w:eastAsia="Times New Roman"/>
      <w:b/>
      <w:bCs/>
      <w:kern w:val="0"/>
      <w:sz w:val="27"/>
      <w:szCs w:val="27"/>
      <w:lang w:eastAsia="et-EE"/>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773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link w:val="LoendilikMrk"/>
    <w:uiPriority w:val="34"/>
    <w:qFormat/>
    <w:rsid w:val="0032798D"/>
    <w:pPr>
      <w:ind w:left="720"/>
      <w:contextualSpacing/>
    </w:pPr>
  </w:style>
  <w:style w:type="character" w:styleId="Kommentaariviide">
    <w:name w:val="annotation reference"/>
    <w:basedOn w:val="Liguvaikefont"/>
    <w:uiPriority w:val="99"/>
    <w:semiHidden/>
    <w:unhideWhenUsed/>
    <w:rsid w:val="00104C22"/>
    <w:rPr>
      <w:sz w:val="16"/>
      <w:szCs w:val="16"/>
    </w:rPr>
  </w:style>
  <w:style w:type="paragraph" w:styleId="Kommentaaritekst">
    <w:name w:val="annotation text"/>
    <w:basedOn w:val="Normaallaad"/>
    <w:link w:val="KommentaaritekstMrk"/>
    <w:uiPriority w:val="99"/>
    <w:unhideWhenUsed/>
    <w:rsid w:val="00104C22"/>
    <w:rPr>
      <w:sz w:val="20"/>
      <w:szCs w:val="20"/>
    </w:rPr>
  </w:style>
  <w:style w:type="character" w:customStyle="1" w:styleId="KommentaaritekstMrk">
    <w:name w:val="Kommentaari tekst Märk"/>
    <w:basedOn w:val="Liguvaikefont"/>
    <w:link w:val="Kommentaaritekst"/>
    <w:uiPriority w:val="99"/>
    <w:rsid w:val="00104C22"/>
    <w:rPr>
      <w:sz w:val="20"/>
      <w:szCs w:val="20"/>
    </w:rPr>
  </w:style>
  <w:style w:type="paragraph" w:styleId="Kommentaariteema">
    <w:name w:val="annotation subject"/>
    <w:basedOn w:val="Kommentaaritekst"/>
    <w:next w:val="Kommentaaritekst"/>
    <w:link w:val="KommentaariteemaMrk"/>
    <w:uiPriority w:val="99"/>
    <w:semiHidden/>
    <w:unhideWhenUsed/>
    <w:rsid w:val="00104C22"/>
    <w:rPr>
      <w:b/>
      <w:bCs/>
    </w:rPr>
  </w:style>
  <w:style w:type="character" w:customStyle="1" w:styleId="KommentaariteemaMrk">
    <w:name w:val="Kommentaari teema Märk"/>
    <w:basedOn w:val="KommentaaritekstMrk"/>
    <w:link w:val="Kommentaariteema"/>
    <w:uiPriority w:val="99"/>
    <w:semiHidden/>
    <w:rsid w:val="00104C22"/>
    <w:rPr>
      <w:b/>
      <w:bCs/>
      <w:sz w:val="20"/>
      <w:szCs w:val="20"/>
    </w:rPr>
  </w:style>
  <w:style w:type="paragraph" w:styleId="Pis">
    <w:name w:val="header"/>
    <w:basedOn w:val="Normaallaad"/>
    <w:link w:val="PisMrk"/>
    <w:uiPriority w:val="99"/>
    <w:unhideWhenUsed/>
    <w:rsid w:val="006B2D65"/>
    <w:pPr>
      <w:tabs>
        <w:tab w:val="center" w:pos="4536"/>
        <w:tab w:val="right" w:pos="9072"/>
      </w:tabs>
    </w:pPr>
  </w:style>
  <w:style w:type="character" w:customStyle="1" w:styleId="PisMrk">
    <w:name w:val="Päis Märk"/>
    <w:basedOn w:val="Liguvaikefont"/>
    <w:link w:val="Pis"/>
    <w:uiPriority w:val="99"/>
    <w:rsid w:val="006B2D65"/>
  </w:style>
  <w:style w:type="paragraph" w:styleId="Jalus">
    <w:name w:val="footer"/>
    <w:basedOn w:val="Normaallaad"/>
    <w:link w:val="JalusMrk"/>
    <w:uiPriority w:val="99"/>
    <w:unhideWhenUsed/>
    <w:rsid w:val="006B2D65"/>
    <w:pPr>
      <w:tabs>
        <w:tab w:val="center" w:pos="4536"/>
        <w:tab w:val="right" w:pos="9072"/>
      </w:tabs>
    </w:pPr>
  </w:style>
  <w:style w:type="character" w:customStyle="1" w:styleId="JalusMrk">
    <w:name w:val="Jalus Märk"/>
    <w:basedOn w:val="Liguvaikefont"/>
    <w:link w:val="Jalus"/>
    <w:uiPriority w:val="99"/>
    <w:rsid w:val="006B2D65"/>
  </w:style>
  <w:style w:type="character" w:styleId="Hperlink">
    <w:name w:val="Hyperlink"/>
    <w:basedOn w:val="Liguvaikefont"/>
    <w:uiPriority w:val="99"/>
    <w:unhideWhenUsed/>
    <w:rsid w:val="00144B53"/>
    <w:rPr>
      <w:color w:val="0563C1" w:themeColor="hyperlink"/>
      <w:u w:val="single"/>
    </w:rPr>
  </w:style>
  <w:style w:type="character" w:styleId="Lahendamatamainimine">
    <w:name w:val="Unresolved Mention"/>
    <w:basedOn w:val="Liguvaikefont"/>
    <w:uiPriority w:val="99"/>
    <w:semiHidden/>
    <w:unhideWhenUsed/>
    <w:rsid w:val="00144B53"/>
    <w:rPr>
      <w:color w:val="605E5C"/>
      <w:shd w:val="clear" w:color="auto" w:fill="E1DFDD"/>
    </w:rPr>
  </w:style>
  <w:style w:type="paragraph" w:customStyle="1" w:styleId="pf0">
    <w:name w:val="pf0"/>
    <w:basedOn w:val="Normaallaad"/>
    <w:rsid w:val="00144A45"/>
    <w:pPr>
      <w:spacing w:before="100" w:beforeAutospacing="1" w:after="100" w:afterAutospacing="1"/>
    </w:pPr>
    <w:rPr>
      <w:rFonts w:eastAsia="Times New Roman"/>
      <w:kern w:val="0"/>
      <w:lang w:eastAsia="et-EE"/>
      <w14:ligatures w14:val="none"/>
    </w:rPr>
  </w:style>
  <w:style w:type="character" w:customStyle="1" w:styleId="cf01">
    <w:name w:val="cf01"/>
    <w:basedOn w:val="Liguvaikefont"/>
    <w:rsid w:val="00144A45"/>
    <w:rPr>
      <w:rFonts w:ascii="Segoe UI" w:hAnsi="Segoe UI" w:cs="Segoe UI" w:hint="default"/>
      <w:sz w:val="18"/>
      <w:szCs w:val="18"/>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allaad"/>
    <w:link w:val="AllmrkusetekstMrk"/>
    <w:uiPriority w:val="99"/>
    <w:unhideWhenUsed/>
    <w:qFormat/>
    <w:rsid w:val="00D32D37"/>
    <w:rPr>
      <w:rFonts w:ascii="Arial" w:eastAsia="Times New Roman" w:hAnsi="Arial"/>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D32D37"/>
    <w:rPr>
      <w:rFonts w:ascii="Arial" w:eastAsia="Times New Roman" w:hAnsi="Arial"/>
      <w:kern w:val="0"/>
      <w:sz w:val="20"/>
      <w:szCs w:val="20"/>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D32D37"/>
    <w:rPr>
      <w:vertAlign w:val="superscript"/>
    </w:rPr>
  </w:style>
  <w:style w:type="paragraph" w:styleId="Normaallaadveeb">
    <w:name w:val="Normal (Web)"/>
    <w:basedOn w:val="Normaallaad"/>
    <w:uiPriority w:val="99"/>
    <w:unhideWhenUsed/>
    <w:rsid w:val="00F208D3"/>
    <w:pPr>
      <w:spacing w:before="100" w:beforeAutospacing="1" w:after="100" w:afterAutospacing="1"/>
    </w:pPr>
    <w:rPr>
      <w:rFonts w:eastAsia="Times New Roman"/>
      <w:kern w:val="0"/>
      <w:lang w:eastAsia="et-EE"/>
      <w14:ligatures w14:val="none"/>
    </w:rPr>
  </w:style>
  <w:style w:type="character" w:customStyle="1" w:styleId="Pealkiri3Mrk">
    <w:name w:val="Pealkiri 3 Märk"/>
    <w:basedOn w:val="Liguvaikefont"/>
    <w:link w:val="Pealkiri3"/>
    <w:uiPriority w:val="9"/>
    <w:rsid w:val="00294042"/>
    <w:rPr>
      <w:rFonts w:eastAsia="Times New Roman"/>
      <w:b/>
      <w:bCs/>
      <w:kern w:val="0"/>
      <w:sz w:val="27"/>
      <w:szCs w:val="27"/>
      <w:lang w:eastAsia="et-EE"/>
      <w14:ligatures w14:val="none"/>
    </w:rPr>
  </w:style>
  <w:style w:type="character" w:styleId="Tugev">
    <w:name w:val="Strong"/>
    <w:basedOn w:val="Liguvaikefont"/>
    <w:uiPriority w:val="22"/>
    <w:qFormat/>
    <w:rsid w:val="00294042"/>
    <w:rPr>
      <w:b/>
      <w:bCs/>
    </w:rPr>
  </w:style>
  <w:style w:type="paragraph" w:styleId="Redaktsioon">
    <w:name w:val="Revision"/>
    <w:hidden/>
    <w:uiPriority w:val="99"/>
    <w:semiHidden/>
    <w:rsid w:val="00913F4F"/>
  </w:style>
  <w:style w:type="character" w:customStyle="1" w:styleId="LoendilikMrk">
    <w:name w:val="Loendi lõik Märk"/>
    <w:link w:val="Loendilik"/>
    <w:uiPriority w:val="34"/>
    <w:locked/>
    <w:rsid w:val="00A12872"/>
  </w:style>
  <w:style w:type="paragraph" w:customStyle="1" w:styleId="BodyA">
    <w:name w:val="Body A"/>
    <w:rsid w:val="00602F23"/>
    <w:pPr>
      <w:pBdr>
        <w:top w:val="nil"/>
        <w:left w:val="nil"/>
        <w:bottom w:val="nil"/>
        <w:right w:val="nil"/>
        <w:between w:val="nil"/>
        <w:bar w:val="nil"/>
      </w:pBdr>
    </w:pPr>
    <w:rPr>
      <w:rFonts w:eastAsia="Arial Unicode MS" w:cs="Arial Unicode MS"/>
      <w:color w:val="000000"/>
      <w:u w:color="000000"/>
      <w:bdr w:val="nil"/>
      <w:lang w:val="nl-NL" w:eastAsia="et-EE"/>
      <w14:textOutline w14:w="12700" w14:cap="flat" w14:cmpd="sng" w14:algn="ctr">
        <w14:noFill/>
        <w14:prstDash w14:val="solid"/>
        <w14:miter w14:lim="400000"/>
      </w14:textOutline>
      <w14:ligatures w14:val="non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116E07"/>
    <w:pPr>
      <w:spacing w:before="240" w:line="240" w:lineRule="exact"/>
      <w:jc w:val="both"/>
    </w:pPr>
    <w:rPr>
      <w:vertAlign w:val="superscript"/>
    </w:rPr>
  </w:style>
  <w:style w:type="character" w:styleId="Klastatudhperlink">
    <w:name w:val="FollowedHyperlink"/>
    <w:basedOn w:val="Liguvaikefont"/>
    <w:uiPriority w:val="99"/>
    <w:semiHidden/>
    <w:unhideWhenUsed/>
    <w:rsid w:val="00116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717">
      <w:bodyDiv w:val="1"/>
      <w:marLeft w:val="0"/>
      <w:marRight w:val="0"/>
      <w:marTop w:val="0"/>
      <w:marBottom w:val="0"/>
      <w:divBdr>
        <w:top w:val="none" w:sz="0" w:space="0" w:color="auto"/>
        <w:left w:val="none" w:sz="0" w:space="0" w:color="auto"/>
        <w:bottom w:val="none" w:sz="0" w:space="0" w:color="auto"/>
        <w:right w:val="none" w:sz="0" w:space="0" w:color="auto"/>
      </w:divBdr>
    </w:div>
    <w:div w:id="60451611">
      <w:bodyDiv w:val="1"/>
      <w:marLeft w:val="0"/>
      <w:marRight w:val="0"/>
      <w:marTop w:val="0"/>
      <w:marBottom w:val="0"/>
      <w:divBdr>
        <w:top w:val="none" w:sz="0" w:space="0" w:color="auto"/>
        <w:left w:val="none" w:sz="0" w:space="0" w:color="auto"/>
        <w:bottom w:val="none" w:sz="0" w:space="0" w:color="auto"/>
        <w:right w:val="none" w:sz="0" w:space="0" w:color="auto"/>
      </w:divBdr>
    </w:div>
    <w:div w:id="78794917">
      <w:bodyDiv w:val="1"/>
      <w:marLeft w:val="0"/>
      <w:marRight w:val="0"/>
      <w:marTop w:val="0"/>
      <w:marBottom w:val="0"/>
      <w:divBdr>
        <w:top w:val="none" w:sz="0" w:space="0" w:color="auto"/>
        <w:left w:val="none" w:sz="0" w:space="0" w:color="auto"/>
        <w:bottom w:val="none" w:sz="0" w:space="0" w:color="auto"/>
        <w:right w:val="none" w:sz="0" w:space="0" w:color="auto"/>
      </w:divBdr>
    </w:div>
    <w:div w:id="113839880">
      <w:bodyDiv w:val="1"/>
      <w:marLeft w:val="0"/>
      <w:marRight w:val="0"/>
      <w:marTop w:val="0"/>
      <w:marBottom w:val="0"/>
      <w:divBdr>
        <w:top w:val="none" w:sz="0" w:space="0" w:color="auto"/>
        <w:left w:val="none" w:sz="0" w:space="0" w:color="auto"/>
        <w:bottom w:val="none" w:sz="0" w:space="0" w:color="auto"/>
        <w:right w:val="none" w:sz="0" w:space="0" w:color="auto"/>
      </w:divBdr>
    </w:div>
    <w:div w:id="156263629">
      <w:bodyDiv w:val="1"/>
      <w:marLeft w:val="0"/>
      <w:marRight w:val="0"/>
      <w:marTop w:val="0"/>
      <w:marBottom w:val="0"/>
      <w:divBdr>
        <w:top w:val="none" w:sz="0" w:space="0" w:color="auto"/>
        <w:left w:val="none" w:sz="0" w:space="0" w:color="auto"/>
        <w:bottom w:val="none" w:sz="0" w:space="0" w:color="auto"/>
        <w:right w:val="none" w:sz="0" w:space="0" w:color="auto"/>
      </w:divBdr>
    </w:div>
    <w:div w:id="427628114">
      <w:bodyDiv w:val="1"/>
      <w:marLeft w:val="0"/>
      <w:marRight w:val="0"/>
      <w:marTop w:val="0"/>
      <w:marBottom w:val="0"/>
      <w:divBdr>
        <w:top w:val="none" w:sz="0" w:space="0" w:color="auto"/>
        <w:left w:val="none" w:sz="0" w:space="0" w:color="auto"/>
        <w:bottom w:val="none" w:sz="0" w:space="0" w:color="auto"/>
        <w:right w:val="none" w:sz="0" w:space="0" w:color="auto"/>
      </w:divBdr>
    </w:div>
    <w:div w:id="482048697">
      <w:bodyDiv w:val="1"/>
      <w:marLeft w:val="0"/>
      <w:marRight w:val="0"/>
      <w:marTop w:val="0"/>
      <w:marBottom w:val="0"/>
      <w:divBdr>
        <w:top w:val="none" w:sz="0" w:space="0" w:color="auto"/>
        <w:left w:val="none" w:sz="0" w:space="0" w:color="auto"/>
        <w:bottom w:val="none" w:sz="0" w:space="0" w:color="auto"/>
        <w:right w:val="none" w:sz="0" w:space="0" w:color="auto"/>
      </w:divBdr>
    </w:div>
    <w:div w:id="565263753">
      <w:bodyDiv w:val="1"/>
      <w:marLeft w:val="0"/>
      <w:marRight w:val="0"/>
      <w:marTop w:val="0"/>
      <w:marBottom w:val="0"/>
      <w:divBdr>
        <w:top w:val="none" w:sz="0" w:space="0" w:color="auto"/>
        <w:left w:val="none" w:sz="0" w:space="0" w:color="auto"/>
        <w:bottom w:val="none" w:sz="0" w:space="0" w:color="auto"/>
        <w:right w:val="none" w:sz="0" w:space="0" w:color="auto"/>
      </w:divBdr>
    </w:div>
    <w:div w:id="591819890">
      <w:bodyDiv w:val="1"/>
      <w:marLeft w:val="0"/>
      <w:marRight w:val="0"/>
      <w:marTop w:val="0"/>
      <w:marBottom w:val="0"/>
      <w:divBdr>
        <w:top w:val="none" w:sz="0" w:space="0" w:color="auto"/>
        <w:left w:val="none" w:sz="0" w:space="0" w:color="auto"/>
        <w:bottom w:val="none" w:sz="0" w:space="0" w:color="auto"/>
        <w:right w:val="none" w:sz="0" w:space="0" w:color="auto"/>
      </w:divBdr>
    </w:div>
    <w:div w:id="774133649">
      <w:bodyDiv w:val="1"/>
      <w:marLeft w:val="0"/>
      <w:marRight w:val="0"/>
      <w:marTop w:val="0"/>
      <w:marBottom w:val="0"/>
      <w:divBdr>
        <w:top w:val="none" w:sz="0" w:space="0" w:color="auto"/>
        <w:left w:val="none" w:sz="0" w:space="0" w:color="auto"/>
        <w:bottom w:val="none" w:sz="0" w:space="0" w:color="auto"/>
        <w:right w:val="none" w:sz="0" w:space="0" w:color="auto"/>
      </w:divBdr>
    </w:div>
    <w:div w:id="887642611">
      <w:bodyDiv w:val="1"/>
      <w:marLeft w:val="0"/>
      <w:marRight w:val="0"/>
      <w:marTop w:val="0"/>
      <w:marBottom w:val="0"/>
      <w:divBdr>
        <w:top w:val="none" w:sz="0" w:space="0" w:color="auto"/>
        <w:left w:val="none" w:sz="0" w:space="0" w:color="auto"/>
        <w:bottom w:val="none" w:sz="0" w:space="0" w:color="auto"/>
        <w:right w:val="none" w:sz="0" w:space="0" w:color="auto"/>
      </w:divBdr>
    </w:div>
    <w:div w:id="897668258">
      <w:bodyDiv w:val="1"/>
      <w:marLeft w:val="0"/>
      <w:marRight w:val="0"/>
      <w:marTop w:val="0"/>
      <w:marBottom w:val="0"/>
      <w:divBdr>
        <w:top w:val="none" w:sz="0" w:space="0" w:color="auto"/>
        <w:left w:val="none" w:sz="0" w:space="0" w:color="auto"/>
        <w:bottom w:val="none" w:sz="0" w:space="0" w:color="auto"/>
        <w:right w:val="none" w:sz="0" w:space="0" w:color="auto"/>
      </w:divBdr>
    </w:div>
    <w:div w:id="1162623999">
      <w:bodyDiv w:val="1"/>
      <w:marLeft w:val="0"/>
      <w:marRight w:val="0"/>
      <w:marTop w:val="0"/>
      <w:marBottom w:val="0"/>
      <w:divBdr>
        <w:top w:val="none" w:sz="0" w:space="0" w:color="auto"/>
        <w:left w:val="none" w:sz="0" w:space="0" w:color="auto"/>
        <w:bottom w:val="none" w:sz="0" w:space="0" w:color="auto"/>
        <w:right w:val="none" w:sz="0" w:space="0" w:color="auto"/>
      </w:divBdr>
    </w:div>
    <w:div w:id="1169368072">
      <w:bodyDiv w:val="1"/>
      <w:marLeft w:val="0"/>
      <w:marRight w:val="0"/>
      <w:marTop w:val="0"/>
      <w:marBottom w:val="0"/>
      <w:divBdr>
        <w:top w:val="none" w:sz="0" w:space="0" w:color="auto"/>
        <w:left w:val="none" w:sz="0" w:space="0" w:color="auto"/>
        <w:bottom w:val="none" w:sz="0" w:space="0" w:color="auto"/>
        <w:right w:val="none" w:sz="0" w:space="0" w:color="auto"/>
      </w:divBdr>
    </w:div>
    <w:div w:id="1214733912">
      <w:bodyDiv w:val="1"/>
      <w:marLeft w:val="0"/>
      <w:marRight w:val="0"/>
      <w:marTop w:val="0"/>
      <w:marBottom w:val="0"/>
      <w:divBdr>
        <w:top w:val="none" w:sz="0" w:space="0" w:color="auto"/>
        <w:left w:val="none" w:sz="0" w:space="0" w:color="auto"/>
        <w:bottom w:val="none" w:sz="0" w:space="0" w:color="auto"/>
        <w:right w:val="none" w:sz="0" w:space="0" w:color="auto"/>
      </w:divBdr>
    </w:div>
    <w:div w:id="1224294496">
      <w:bodyDiv w:val="1"/>
      <w:marLeft w:val="0"/>
      <w:marRight w:val="0"/>
      <w:marTop w:val="0"/>
      <w:marBottom w:val="0"/>
      <w:divBdr>
        <w:top w:val="none" w:sz="0" w:space="0" w:color="auto"/>
        <w:left w:val="none" w:sz="0" w:space="0" w:color="auto"/>
        <w:bottom w:val="none" w:sz="0" w:space="0" w:color="auto"/>
        <w:right w:val="none" w:sz="0" w:space="0" w:color="auto"/>
      </w:divBdr>
    </w:div>
    <w:div w:id="1244726246">
      <w:bodyDiv w:val="1"/>
      <w:marLeft w:val="0"/>
      <w:marRight w:val="0"/>
      <w:marTop w:val="0"/>
      <w:marBottom w:val="0"/>
      <w:divBdr>
        <w:top w:val="none" w:sz="0" w:space="0" w:color="auto"/>
        <w:left w:val="none" w:sz="0" w:space="0" w:color="auto"/>
        <w:bottom w:val="none" w:sz="0" w:space="0" w:color="auto"/>
        <w:right w:val="none" w:sz="0" w:space="0" w:color="auto"/>
      </w:divBdr>
    </w:div>
    <w:div w:id="1262953089">
      <w:bodyDiv w:val="1"/>
      <w:marLeft w:val="0"/>
      <w:marRight w:val="0"/>
      <w:marTop w:val="0"/>
      <w:marBottom w:val="0"/>
      <w:divBdr>
        <w:top w:val="none" w:sz="0" w:space="0" w:color="auto"/>
        <w:left w:val="none" w:sz="0" w:space="0" w:color="auto"/>
        <w:bottom w:val="none" w:sz="0" w:space="0" w:color="auto"/>
        <w:right w:val="none" w:sz="0" w:space="0" w:color="auto"/>
      </w:divBdr>
    </w:div>
    <w:div w:id="1264220854">
      <w:bodyDiv w:val="1"/>
      <w:marLeft w:val="0"/>
      <w:marRight w:val="0"/>
      <w:marTop w:val="0"/>
      <w:marBottom w:val="0"/>
      <w:divBdr>
        <w:top w:val="none" w:sz="0" w:space="0" w:color="auto"/>
        <w:left w:val="none" w:sz="0" w:space="0" w:color="auto"/>
        <w:bottom w:val="none" w:sz="0" w:space="0" w:color="auto"/>
        <w:right w:val="none" w:sz="0" w:space="0" w:color="auto"/>
      </w:divBdr>
    </w:div>
    <w:div w:id="1301770655">
      <w:bodyDiv w:val="1"/>
      <w:marLeft w:val="0"/>
      <w:marRight w:val="0"/>
      <w:marTop w:val="0"/>
      <w:marBottom w:val="0"/>
      <w:divBdr>
        <w:top w:val="none" w:sz="0" w:space="0" w:color="auto"/>
        <w:left w:val="none" w:sz="0" w:space="0" w:color="auto"/>
        <w:bottom w:val="none" w:sz="0" w:space="0" w:color="auto"/>
        <w:right w:val="none" w:sz="0" w:space="0" w:color="auto"/>
      </w:divBdr>
    </w:div>
    <w:div w:id="1342125314">
      <w:bodyDiv w:val="1"/>
      <w:marLeft w:val="0"/>
      <w:marRight w:val="0"/>
      <w:marTop w:val="0"/>
      <w:marBottom w:val="0"/>
      <w:divBdr>
        <w:top w:val="none" w:sz="0" w:space="0" w:color="auto"/>
        <w:left w:val="none" w:sz="0" w:space="0" w:color="auto"/>
        <w:bottom w:val="none" w:sz="0" w:space="0" w:color="auto"/>
        <w:right w:val="none" w:sz="0" w:space="0" w:color="auto"/>
      </w:divBdr>
    </w:div>
    <w:div w:id="1560700666">
      <w:bodyDiv w:val="1"/>
      <w:marLeft w:val="0"/>
      <w:marRight w:val="0"/>
      <w:marTop w:val="0"/>
      <w:marBottom w:val="0"/>
      <w:divBdr>
        <w:top w:val="none" w:sz="0" w:space="0" w:color="auto"/>
        <w:left w:val="none" w:sz="0" w:space="0" w:color="auto"/>
        <w:bottom w:val="none" w:sz="0" w:space="0" w:color="auto"/>
        <w:right w:val="none" w:sz="0" w:space="0" w:color="auto"/>
      </w:divBdr>
    </w:div>
    <w:div w:id="1575968020">
      <w:bodyDiv w:val="1"/>
      <w:marLeft w:val="0"/>
      <w:marRight w:val="0"/>
      <w:marTop w:val="0"/>
      <w:marBottom w:val="0"/>
      <w:divBdr>
        <w:top w:val="none" w:sz="0" w:space="0" w:color="auto"/>
        <w:left w:val="none" w:sz="0" w:space="0" w:color="auto"/>
        <w:bottom w:val="none" w:sz="0" w:space="0" w:color="auto"/>
        <w:right w:val="none" w:sz="0" w:space="0" w:color="auto"/>
      </w:divBdr>
    </w:div>
    <w:div w:id="1671912070">
      <w:bodyDiv w:val="1"/>
      <w:marLeft w:val="0"/>
      <w:marRight w:val="0"/>
      <w:marTop w:val="0"/>
      <w:marBottom w:val="0"/>
      <w:divBdr>
        <w:top w:val="none" w:sz="0" w:space="0" w:color="auto"/>
        <w:left w:val="none" w:sz="0" w:space="0" w:color="auto"/>
        <w:bottom w:val="none" w:sz="0" w:space="0" w:color="auto"/>
        <w:right w:val="none" w:sz="0" w:space="0" w:color="auto"/>
      </w:divBdr>
    </w:div>
    <w:div w:id="1679308017">
      <w:bodyDiv w:val="1"/>
      <w:marLeft w:val="0"/>
      <w:marRight w:val="0"/>
      <w:marTop w:val="0"/>
      <w:marBottom w:val="0"/>
      <w:divBdr>
        <w:top w:val="none" w:sz="0" w:space="0" w:color="auto"/>
        <w:left w:val="none" w:sz="0" w:space="0" w:color="auto"/>
        <w:bottom w:val="none" w:sz="0" w:space="0" w:color="auto"/>
        <w:right w:val="none" w:sz="0" w:space="0" w:color="auto"/>
      </w:divBdr>
    </w:div>
    <w:div w:id="1816214618">
      <w:bodyDiv w:val="1"/>
      <w:marLeft w:val="0"/>
      <w:marRight w:val="0"/>
      <w:marTop w:val="0"/>
      <w:marBottom w:val="0"/>
      <w:divBdr>
        <w:top w:val="none" w:sz="0" w:space="0" w:color="auto"/>
        <w:left w:val="none" w:sz="0" w:space="0" w:color="auto"/>
        <w:bottom w:val="none" w:sz="0" w:space="0" w:color="auto"/>
        <w:right w:val="none" w:sz="0" w:space="0" w:color="auto"/>
      </w:divBdr>
    </w:div>
    <w:div w:id="1865240895">
      <w:bodyDiv w:val="1"/>
      <w:marLeft w:val="0"/>
      <w:marRight w:val="0"/>
      <w:marTop w:val="0"/>
      <w:marBottom w:val="0"/>
      <w:divBdr>
        <w:top w:val="none" w:sz="0" w:space="0" w:color="auto"/>
        <w:left w:val="none" w:sz="0" w:space="0" w:color="auto"/>
        <w:bottom w:val="none" w:sz="0" w:space="0" w:color="auto"/>
        <w:right w:val="none" w:sz="0" w:space="0" w:color="auto"/>
      </w:divBdr>
    </w:div>
    <w:div w:id="204783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D929F-4303-417F-BF22-B505FFA08D4E}">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0CC26876-C5C7-414C-98BD-987FD904B927}">
  <ds:schemaRefs>
    <ds:schemaRef ds:uri="http://schemas.microsoft.com/sharepoint/v3/contenttype/forms"/>
  </ds:schemaRefs>
</ds:datastoreItem>
</file>

<file path=customXml/itemProps3.xml><?xml version="1.0" encoding="utf-8"?>
<ds:datastoreItem xmlns:ds="http://schemas.openxmlformats.org/officeDocument/2006/customXml" ds:itemID="{14F3497F-A685-4461-8C50-6DA6D7FDD11B}">
  <ds:schemaRefs>
    <ds:schemaRef ds:uri="http://schemas.openxmlformats.org/officeDocument/2006/bibliography"/>
  </ds:schemaRefs>
</ds:datastoreItem>
</file>

<file path=customXml/itemProps4.xml><?xml version="1.0" encoding="utf-8"?>
<ds:datastoreItem xmlns:ds="http://schemas.openxmlformats.org/officeDocument/2006/customXml" ds:itemID="{8A7F7C01-1327-4864-97A5-68F4981E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12061</Characters>
  <Application>Microsoft Office Word</Application>
  <DocSecurity>0</DocSecurity>
  <Lines>100</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Maris Rohulaid - RK</cp:lastModifiedBy>
  <cp:revision>2</cp:revision>
  <dcterms:created xsi:type="dcterms:W3CDTF">2026-07-10T05:59:00Z</dcterms:created>
  <dcterms:modified xsi:type="dcterms:W3CDTF">2026-07-10T05:59:00Z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8cbe7764-b9ce-4c4d-95f5-9a7e7bcac646_Enabled">
    <vt:lpwstr>true</vt:lpwstr>
  </property>
  <property fmtid="{D5CDD505-2E9C-101B-9397-08002B2CF9AE}" pid="4" name="MSIP_Label_8cbe7764-b9ce-4c4d-95f5-9a7e7bcac646_SetDate">
    <vt:lpwstr>2026-07-08T07:38:15Z</vt:lpwstr>
  </property>
  <property fmtid="{D5CDD505-2E9C-101B-9397-08002B2CF9AE}" pid="5" name="MSIP_Label_8cbe7764-b9ce-4c4d-95f5-9a7e7bcac646_Method">
    <vt:lpwstr>Standard</vt:lpwstr>
  </property>
  <property fmtid="{D5CDD505-2E9C-101B-9397-08002B2CF9AE}" pid="6" name="MSIP_Label_8cbe7764-b9ce-4c4d-95f5-9a7e7bcac646_Name">
    <vt:lpwstr>SIM VA - sisemine kasutus</vt:lpwstr>
  </property>
  <property fmtid="{D5CDD505-2E9C-101B-9397-08002B2CF9AE}" pid="7" name="MSIP_Label_8cbe7764-b9ce-4c4d-95f5-9a7e7bcac646_SiteId">
    <vt:lpwstr>7bae085e-3093-4c05-8334-7a5421e0af07</vt:lpwstr>
  </property>
  <property fmtid="{D5CDD505-2E9C-101B-9397-08002B2CF9AE}" pid="8" name="MSIP_Label_8cbe7764-b9ce-4c4d-95f5-9a7e7bcac646_ActionId">
    <vt:lpwstr>268d2683-5e8d-486c-817f-155f335d02f4</vt:lpwstr>
  </property>
  <property fmtid="{D5CDD505-2E9C-101B-9397-08002B2CF9AE}" pid="9" name="MSIP_Label_8cbe7764-b9ce-4c4d-95f5-9a7e7bcac646_ContentBits">
    <vt:lpwstr>0</vt:lpwstr>
  </property>
  <property fmtid="{D5CDD505-2E9C-101B-9397-08002B2CF9AE}" pid="10" name="MSIP_Label_8cbe7764-b9ce-4c4d-95f5-9a7e7bcac646_Tag">
    <vt:lpwstr>10, 3, 0, 1</vt:lpwstr>
  </property>
  <property fmtid="{D5CDD505-2E9C-101B-9397-08002B2CF9AE}" pid="11" name="MSIP_Label_defa4170-0d19-0005-0004-bc88714345d2_Enabled">
    <vt:lpwstr>true</vt:lpwstr>
  </property>
  <property fmtid="{D5CDD505-2E9C-101B-9397-08002B2CF9AE}" pid="12" name="MSIP_Label_defa4170-0d19-0005-0004-bc88714345d2_SetDate">
    <vt:lpwstr>2026-07-09T11:49:20Z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3e8e3299-27fd-4351-9088-38015b637bae</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ies>
</file>